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78F9A">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仿宋" w:hAnsi="仿宋" w:eastAsia="仿宋" w:cs="仿宋"/>
          <w:b/>
          <w:color w:val="auto"/>
          <w:spacing w:val="0"/>
          <w:sz w:val="44"/>
          <w:szCs w:val="44"/>
          <w:highlight w:val="none"/>
          <w:lang w:val="en-US" w:eastAsia="zh-CN"/>
        </w:rPr>
      </w:pPr>
      <w:r>
        <w:rPr>
          <w:rFonts w:hint="eastAsia" w:ascii="仿宋" w:hAnsi="仿宋" w:eastAsia="仿宋" w:cs="仿宋"/>
          <w:b/>
          <w:color w:val="auto"/>
          <w:spacing w:val="0"/>
          <w:sz w:val="44"/>
          <w:szCs w:val="44"/>
          <w:highlight w:val="none"/>
        </w:rPr>
        <w:t>成都市成华区</w:t>
      </w:r>
      <w:r>
        <w:rPr>
          <w:rFonts w:hint="eastAsia" w:ascii="仿宋" w:hAnsi="仿宋" w:eastAsia="仿宋" w:cs="仿宋"/>
          <w:b/>
          <w:color w:val="auto"/>
          <w:spacing w:val="0"/>
          <w:sz w:val="44"/>
          <w:szCs w:val="44"/>
          <w:highlight w:val="none"/>
          <w:lang w:val="en-US" w:eastAsia="zh-CN"/>
        </w:rPr>
        <w:t>第七人民医院</w:t>
      </w:r>
    </w:p>
    <w:p w14:paraId="03679B97">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lang w:eastAsia="zh-CN"/>
        </w:rPr>
      </w:pPr>
      <w:r>
        <w:rPr>
          <w:rFonts w:hint="eastAsia" w:ascii="仿宋" w:hAnsi="仿宋" w:eastAsia="仿宋" w:cs="仿宋"/>
          <w:b/>
          <w:color w:val="auto"/>
          <w:spacing w:val="0"/>
          <w:sz w:val="44"/>
          <w:szCs w:val="44"/>
          <w:highlight w:val="none"/>
          <w:lang w:eastAsia="zh-CN"/>
        </w:rPr>
        <w:t>2026-2028年职工补充医疗保险遴选项目</w:t>
      </w:r>
    </w:p>
    <w:p w14:paraId="32004296">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r>
        <w:rPr>
          <w:rFonts w:hint="eastAsia" w:ascii="仿宋" w:hAnsi="仿宋" w:eastAsia="仿宋" w:cs="仿宋"/>
          <w:b/>
          <w:color w:val="auto"/>
          <w:spacing w:val="0"/>
          <w:sz w:val="44"/>
          <w:szCs w:val="44"/>
          <w:highlight w:val="none"/>
          <w:lang w:eastAsia="zh-CN"/>
        </w:rPr>
        <w:t>（第二次）</w:t>
      </w:r>
    </w:p>
    <w:p w14:paraId="7A16E0EF">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57EC86AA">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p>
    <w:p w14:paraId="48E6E106">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遴</w:t>
      </w:r>
    </w:p>
    <w:p w14:paraId="7A9EA5BA">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p>
    <w:p w14:paraId="64CFA35E">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选</w:t>
      </w:r>
    </w:p>
    <w:p w14:paraId="455B348F">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p>
    <w:p w14:paraId="55CA25AD">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文</w:t>
      </w:r>
    </w:p>
    <w:p w14:paraId="2CB03A23">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p>
    <w:p w14:paraId="405DB576">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件</w:t>
      </w:r>
    </w:p>
    <w:p w14:paraId="6904DFE0">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373D580C">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74F9E9DE">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553259FD">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7C7B34B7">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07A42EE0">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lang w:val="en-US" w:eastAsia="zh-CN"/>
        </w:rPr>
      </w:pPr>
      <w:r>
        <w:rPr>
          <w:rFonts w:hint="eastAsia" w:ascii="仿宋" w:hAnsi="仿宋" w:eastAsia="仿宋" w:cs="仿宋"/>
          <w:b/>
          <w:color w:val="auto"/>
          <w:spacing w:val="0"/>
          <w:sz w:val="44"/>
          <w:szCs w:val="44"/>
          <w:highlight w:val="none"/>
        </w:rPr>
        <w:t>遴选人:成都市成华区</w:t>
      </w:r>
      <w:r>
        <w:rPr>
          <w:rFonts w:hint="eastAsia" w:ascii="仿宋" w:hAnsi="仿宋" w:eastAsia="仿宋" w:cs="仿宋"/>
          <w:b/>
          <w:color w:val="auto"/>
          <w:spacing w:val="0"/>
          <w:sz w:val="44"/>
          <w:szCs w:val="44"/>
          <w:highlight w:val="none"/>
          <w:lang w:val="en-US" w:eastAsia="zh-CN"/>
        </w:rPr>
        <w:t>第七人民医院</w:t>
      </w:r>
    </w:p>
    <w:p w14:paraId="1E04A77A">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r>
        <w:rPr>
          <w:rFonts w:hint="eastAsia" w:ascii="仿宋" w:hAnsi="仿宋" w:eastAsia="仿宋" w:cs="仿宋"/>
          <w:b/>
          <w:color w:val="auto"/>
          <w:spacing w:val="0"/>
          <w:sz w:val="44"/>
          <w:szCs w:val="44"/>
          <w:highlight w:val="none"/>
        </w:rPr>
        <w:t>二〇二</w:t>
      </w:r>
      <w:r>
        <w:rPr>
          <w:rFonts w:hint="eastAsia" w:ascii="仿宋" w:hAnsi="仿宋" w:eastAsia="仿宋" w:cs="仿宋"/>
          <w:b/>
          <w:color w:val="auto"/>
          <w:spacing w:val="0"/>
          <w:sz w:val="44"/>
          <w:szCs w:val="44"/>
          <w:highlight w:val="none"/>
          <w:lang w:val="en-US" w:eastAsia="zh-CN"/>
        </w:rPr>
        <w:t>六年八</w:t>
      </w:r>
      <w:r>
        <w:rPr>
          <w:rFonts w:hint="eastAsia" w:ascii="仿宋" w:hAnsi="仿宋" w:eastAsia="仿宋" w:cs="仿宋"/>
          <w:b/>
          <w:color w:val="auto"/>
          <w:spacing w:val="0"/>
          <w:sz w:val="44"/>
          <w:szCs w:val="44"/>
          <w:highlight w:val="none"/>
        </w:rPr>
        <w:t>月</w:t>
      </w:r>
    </w:p>
    <w:p w14:paraId="00210ADA">
      <w:pPr>
        <w:pageBreakBefore w:val="0"/>
        <w:kinsoku/>
        <w:wordWrap/>
        <w:overflowPunct/>
        <w:topLinePunct w:val="0"/>
        <w:bidi w:val="0"/>
        <w:snapToGrid/>
        <w:spacing w:line="0" w:lineRule="atLeast"/>
        <w:jc w:val="center"/>
        <w:rPr>
          <w:rFonts w:hint="eastAsia" w:ascii="仿宋" w:hAnsi="仿宋" w:eastAsia="仿宋" w:cs="仿宋"/>
          <w:b/>
          <w:color w:val="auto"/>
          <w:spacing w:val="0"/>
          <w:sz w:val="36"/>
          <w:szCs w:val="36"/>
          <w:highlight w:val="none"/>
        </w:rPr>
      </w:pPr>
    </w:p>
    <w:p w14:paraId="07FA9D94">
      <w:pPr>
        <w:pageBreakBefore w:val="0"/>
        <w:widowControl/>
        <w:kinsoku/>
        <w:wordWrap/>
        <w:overflowPunct/>
        <w:topLinePunct w:val="0"/>
        <w:bidi w:val="0"/>
        <w:snapToGrid/>
        <w:spacing w:line="0" w:lineRule="atLeast"/>
        <w:jc w:val="left"/>
        <w:rPr>
          <w:rFonts w:hint="eastAsia" w:ascii="仿宋" w:hAnsi="仿宋" w:eastAsia="仿宋" w:cs="仿宋"/>
          <w:b/>
          <w:color w:val="auto"/>
          <w:spacing w:val="0"/>
          <w:sz w:val="44"/>
          <w:szCs w:val="44"/>
          <w:highlight w:val="none"/>
        </w:rPr>
      </w:pPr>
    </w:p>
    <w:p w14:paraId="0A3CC534">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r>
        <w:rPr>
          <w:rFonts w:hint="eastAsia" w:ascii="仿宋" w:hAnsi="仿宋" w:eastAsia="仿宋" w:cs="仿宋"/>
          <w:b/>
          <w:color w:val="auto"/>
          <w:spacing w:val="0"/>
          <w:sz w:val="44"/>
          <w:szCs w:val="44"/>
          <w:highlight w:val="none"/>
        </w:rPr>
        <w:t>目录</w:t>
      </w:r>
    </w:p>
    <w:p w14:paraId="5D651546">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7AAF112A">
      <w:pPr>
        <w:pStyle w:val="12"/>
        <w:pageBreakBefore w:val="0"/>
        <w:tabs>
          <w:tab w:val="right" w:leader="dot" w:pos="9736"/>
        </w:tabs>
        <w:kinsoku/>
        <w:wordWrap/>
        <w:overflowPunct/>
        <w:topLinePunct w:val="0"/>
        <w:bidi w:val="0"/>
        <w:snapToGrid/>
        <w:spacing w:line="720" w:lineRule="auto"/>
        <w:rPr>
          <w:rFonts w:hint="eastAsia" w:ascii="仿宋" w:hAnsi="仿宋" w:eastAsia="仿宋" w:cs="仿宋"/>
          <w:b/>
          <w:bCs/>
          <w:color w:val="auto"/>
          <w:spacing w:val="0"/>
          <w:sz w:val="36"/>
          <w:szCs w:val="36"/>
          <w:highlight w:val="none"/>
          <w:lang w:eastAsia="zh-CN"/>
        </w:rPr>
      </w:pPr>
      <w:r>
        <w:rPr>
          <w:rFonts w:hint="eastAsia" w:ascii="仿宋" w:hAnsi="仿宋" w:eastAsia="仿宋" w:cs="仿宋"/>
          <w:b/>
          <w:bCs/>
          <w:color w:val="auto"/>
          <w:spacing w:val="0"/>
          <w:sz w:val="36"/>
          <w:szCs w:val="36"/>
          <w:highlight w:val="none"/>
        </w:rPr>
        <w:fldChar w:fldCharType="begin"/>
      </w:r>
      <w:r>
        <w:rPr>
          <w:rFonts w:hint="eastAsia" w:ascii="仿宋" w:hAnsi="仿宋" w:eastAsia="仿宋" w:cs="仿宋"/>
          <w:b/>
          <w:bCs/>
          <w:color w:val="auto"/>
          <w:spacing w:val="0"/>
          <w:sz w:val="36"/>
          <w:szCs w:val="36"/>
          <w:highlight w:val="none"/>
        </w:rPr>
        <w:instrText xml:space="preserve"> TOC \o "1-1" \h \z \u </w:instrText>
      </w:r>
      <w:r>
        <w:rPr>
          <w:rFonts w:hint="eastAsia" w:ascii="仿宋" w:hAnsi="仿宋" w:eastAsia="仿宋" w:cs="仿宋"/>
          <w:b/>
          <w:bCs/>
          <w:color w:val="auto"/>
          <w:spacing w:val="0"/>
          <w:sz w:val="36"/>
          <w:szCs w:val="36"/>
          <w:highlight w:val="none"/>
        </w:rPr>
        <w:fldChar w:fldCharType="separate"/>
      </w:r>
      <w:r>
        <w:rPr>
          <w:rFonts w:hint="eastAsia" w:ascii="仿宋" w:hAnsi="仿宋" w:eastAsia="仿宋" w:cs="仿宋"/>
          <w:color w:val="auto"/>
          <w:spacing w:val="0"/>
          <w:sz w:val="36"/>
          <w:szCs w:val="36"/>
          <w:highlight w:val="none"/>
        </w:rPr>
        <w:fldChar w:fldCharType="begin"/>
      </w:r>
      <w:r>
        <w:rPr>
          <w:rFonts w:hint="eastAsia" w:ascii="仿宋" w:hAnsi="仿宋" w:eastAsia="仿宋" w:cs="仿宋"/>
          <w:color w:val="auto"/>
          <w:spacing w:val="0"/>
          <w:sz w:val="36"/>
          <w:szCs w:val="36"/>
          <w:highlight w:val="none"/>
        </w:rPr>
        <w:instrText xml:space="preserve"> HYPERLINK \l "_Toc69323336" </w:instrText>
      </w:r>
      <w:r>
        <w:rPr>
          <w:rFonts w:hint="eastAsia" w:ascii="仿宋" w:hAnsi="仿宋" w:eastAsia="仿宋" w:cs="仿宋"/>
          <w:color w:val="auto"/>
          <w:spacing w:val="0"/>
          <w:sz w:val="36"/>
          <w:szCs w:val="36"/>
          <w:highlight w:val="none"/>
        </w:rPr>
        <w:fldChar w:fldCharType="separate"/>
      </w:r>
      <w:r>
        <w:rPr>
          <w:rStyle w:val="19"/>
          <w:rFonts w:hint="eastAsia" w:ascii="仿宋" w:hAnsi="仿宋" w:eastAsia="仿宋" w:cs="仿宋"/>
          <w:b/>
          <w:bCs/>
          <w:color w:val="auto"/>
          <w:spacing w:val="0"/>
          <w:sz w:val="36"/>
          <w:szCs w:val="36"/>
          <w:highlight w:val="none"/>
        </w:rPr>
        <w:t>第一章遴选邀请</w:t>
      </w:r>
      <w:r>
        <w:rPr>
          <w:rFonts w:hint="eastAsia" w:ascii="仿宋" w:hAnsi="仿宋" w:eastAsia="仿宋" w:cs="仿宋"/>
          <w:b/>
          <w:bCs/>
          <w:color w:val="auto"/>
          <w:spacing w:val="0"/>
          <w:sz w:val="36"/>
          <w:szCs w:val="36"/>
          <w:highlight w:val="none"/>
        </w:rPr>
        <w:tab/>
      </w: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b/>
          <w:bCs/>
          <w:color w:val="auto"/>
          <w:spacing w:val="0"/>
          <w:sz w:val="36"/>
          <w:szCs w:val="36"/>
          <w:highlight w:val="none"/>
          <w:lang w:val="en-US" w:eastAsia="zh-CN"/>
        </w:rPr>
        <w:t>3</w:t>
      </w:r>
    </w:p>
    <w:p w14:paraId="5CE9896D">
      <w:pPr>
        <w:pStyle w:val="12"/>
        <w:pageBreakBefore w:val="0"/>
        <w:tabs>
          <w:tab w:val="right" w:leader="dot" w:pos="9736"/>
        </w:tabs>
        <w:kinsoku/>
        <w:wordWrap/>
        <w:overflowPunct/>
        <w:topLinePunct w:val="0"/>
        <w:bidi w:val="0"/>
        <w:snapToGrid/>
        <w:spacing w:line="720" w:lineRule="auto"/>
        <w:rPr>
          <w:rFonts w:hint="eastAsia" w:ascii="仿宋" w:hAnsi="仿宋" w:eastAsia="仿宋" w:cs="仿宋"/>
          <w:b/>
          <w:bCs/>
          <w:color w:val="auto"/>
          <w:spacing w:val="0"/>
          <w:sz w:val="36"/>
          <w:szCs w:val="36"/>
          <w:highlight w:val="none"/>
        </w:rPr>
      </w:pPr>
      <w:r>
        <w:rPr>
          <w:rFonts w:hint="eastAsia" w:ascii="仿宋" w:hAnsi="仿宋" w:eastAsia="仿宋" w:cs="仿宋"/>
          <w:color w:val="auto"/>
          <w:spacing w:val="0"/>
          <w:sz w:val="36"/>
          <w:szCs w:val="36"/>
          <w:highlight w:val="none"/>
        </w:rPr>
        <w:fldChar w:fldCharType="begin"/>
      </w:r>
      <w:r>
        <w:rPr>
          <w:rFonts w:hint="eastAsia" w:ascii="仿宋" w:hAnsi="仿宋" w:eastAsia="仿宋" w:cs="仿宋"/>
          <w:color w:val="auto"/>
          <w:spacing w:val="0"/>
          <w:sz w:val="36"/>
          <w:szCs w:val="36"/>
          <w:highlight w:val="none"/>
        </w:rPr>
        <w:instrText xml:space="preserve"> HYPERLINK \l "_Toc69323337" </w:instrText>
      </w:r>
      <w:r>
        <w:rPr>
          <w:rFonts w:hint="eastAsia" w:ascii="仿宋" w:hAnsi="仿宋" w:eastAsia="仿宋" w:cs="仿宋"/>
          <w:color w:val="auto"/>
          <w:spacing w:val="0"/>
          <w:sz w:val="36"/>
          <w:szCs w:val="36"/>
          <w:highlight w:val="none"/>
        </w:rPr>
        <w:fldChar w:fldCharType="separate"/>
      </w:r>
      <w:r>
        <w:rPr>
          <w:rStyle w:val="19"/>
          <w:rFonts w:hint="eastAsia" w:ascii="仿宋" w:hAnsi="仿宋" w:eastAsia="仿宋" w:cs="仿宋"/>
          <w:b/>
          <w:bCs/>
          <w:color w:val="auto"/>
          <w:spacing w:val="0"/>
          <w:sz w:val="36"/>
          <w:szCs w:val="36"/>
          <w:highlight w:val="none"/>
        </w:rPr>
        <w:t>第二章遴选申请书</w:t>
      </w:r>
      <w:r>
        <w:rPr>
          <w:rFonts w:hint="eastAsia" w:ascii="仿宋" w:hAnsi="仿宋" w:eastAsia="仿宋" w:cs="仿宋"/>
          <w:b/>
          <w:bCs/>
          <w:color w:val="auto"/>
          <w:spacing w:val="0"/>
          <w:sz w:val="36"/>
          <w:szCs w:val="36"/>
          <w:highlight w:val="none"/>
        </w:rPr>
        <w:tab/>
      </w: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b/>
          <w:bCs/>
          <w:color w:val="auto"/>
          <w:spacing w:val="0"/>
          <w:sz w:val="36"/>
          <w:szCs w:val="36"/>
          <w:highlight w:val="none"/>
          <w:lang w:val="en-US" w:eastAsia="zh-CN"/>
        </w:rPr>
        <w:t>8</w:t>
      </w:r>
    </w:p>
    <w:p w14:paraId="68907194">
      <w:pPr>
        <w:pStyle w:val="12"/>
        <w:pageBreakBefore w:val="0"/>
        <w:tabs>
          <w:tab w:val="right" w:leader="dot" w:pos="9736"/>
        </w:tabs>
        <w:kinsoku/>
        <w:wordWrap/>
        <w:overflowPunct/>
        <w:topLinePunct w:val="0"/>
        <w:bidi w:val="0"/>
        <w:snapToGrid/>
        <w:spacing w:line="720" w:lineRule="auto"/>
        <w:rPr>
          <w:rFonts w:hint="eastAsia" w:ascii="仿宋" w:hAnsi="仿宋" w:eastAsia="仿宋" w:cs="仿宋"/>
          <w:b/>
          <w:bCs/>
          <w:color w:val="auto"/>
          <w:spacing w:val="0"/>
          <w:sz w:val="36"/>
          <w:szCs w:val="36"/>
          <w:highlight w:val="none"/>
          <w:lang w:val="en-US" w:eastAsia="zh-CN"/>
        </w:rPr>
      </w:pPr>
      <w:r>
        <w:rPr>
          <w:rFonts w:hint="eastAsia" w:ascii="仿宋" w:hAnsi="仿宋" w:eastAsia="仿宋" w:cs="仿宋"/>
          <w:color w:val="auto"/>
          <w:spacing w:val="0"/>
          <w:sz w:val="36"/>
          <w:szCs w:val="36"/>
          <w:highlight w:val="none"/>
        </w:rPr>
        <w:fldChar w:fldCharType="begin"/>
      </w:r>
      <w:r>
        <w:rPr>
          <w:rFonts w:hint="eastAsia" w:ascii="仿宋" w:hAnsi="仿宋" w:eastAsia="仿宋" w:cs="仿宋"/>
          <w:color w:val="auto"/>
          <w:spacing w:val="0"/>
          <w:sz w:val="36"/>
          <w:szCs w:val="36"/>
          <w:highlight w:val="none"/>
        </w:rPr>
        <w:instrText xml:space="preserve"> HYPERLINK \l "_Toc69323338" </w:instrText>
      </w:r>
      <w:r>
        <w:rPr>
          <w:rFonts w:hint="eastAsia" w:ascii="仿宋" w:hAnsi="仿宋" w:eastAsia="仿宋" w:cs="仿宋"/>
          <w:color w:val="auto"/>
          <w:spacing w:val="0"/>
          <w:sz w:val="36"/>
          <w:szCs w:val="36"/>
          <w:highlight w:val="none"/>
        </w:rPr>
        <w:fldChar w:fldCharType="separate"/>
      </w:r>
      <w:r>
        <w:rPr>
          <w:rStyle w:val="19"/>
          <w:rFonts w:hint="eastAsia" w:ascii="仿宋" w:hAnsi="仿宋" w:eastAsia="仿宋" w:cs="仿宋"/>
          <w:b/>
          <w:bCs/>
          <w:color w:val="auto"/>
          <w:spacing w:val="0"/>
          <w:sz w:val="36"/>
          <w:szCs w:val="36"/>
          <w:highlight w:val="none"/>
        </w:rPr>
        <w:t>第三章资格证明文件</w:t>
      </w:r>
      <w:r>
        <w:rPr>
          <w:rFonts w:hint="eastAsia" w:ascii="仿宋" w:hAnsi="仿宋" w:eastAsia="仿宋" w:cs="仿宋"/>
          <w:b/>
          <w:bCs/>
          <w:color w:val="auto"/>
          <w:spacing w:val="0"/>
          <w:sz w:val="36"/>
          <w:szCs w:val="36"/>
          <w:highlight w:val="none"/>
        </w:rPr>
        <w:tab/>
      </w:r>
      <w:r>
        <w:rPr>
          <w:rFonts w:hint="eastAsia" w:ascii="仿宋" w:hAnsi="仿宋" w:eastAsia="仿宋" w:cs="仿宋"/>
          <w:b/>
          <w:bCs/>
          <w:color w:val="auto"/>
          <w:spacing w:val="0"/>
          <w:sz w:val="36"/>
          <w:szCs w:val="36"/>
          <w:highlight w:val="none"/>
          <w:lang w:val="en-US" w:eastAsia="zh-CN"/>
        </w:rPr>
        <w:t>1</w:t>
      </w: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b/>
          <w:bCs/>
          <w:color w:val="auto"/>
          <w:spacing w:val="0"/>
          <w:sz w:val="36"/>
          <w:szCs w:val="36"/>
          <w:highlight w:val="none"/>
          <w:lang w:val="en-US" w:eastAsia="zh-CN"/>
        </w:rPr>
        <w:t>7</w:t>
      </w:r>
    </w:p>
    <w:p w14:paraId="0CB496FF">
      <w:pPr>
        <w:pStyle w:val="12"/>
        <w:pageBreakBefore w:val="0"/>
        <w:tabs>
          <w:tab w:val="right" w:leader="dot" w:pos="9736"/>
        </w:tabs>
        <w:kinsoku/>
        <w:wordWrap/>
        <w:overflowPunct/>
        <w:topLinePunct w:val="0"/>
        <w:bidi w:val="0"/>
        <w:snapToGrid/>
        <w:spacing w:line="720" w:lineRule="auto"/>
        <w:rPr>
          <w:rFonts w:hint="eastAsia" w:ascii="仿宋" w:hAnsi="仿宋" w:eastAsia="仿宋" w:cs="仿宋"/>
          <w:b/>
          <w:bCs/>
          <w:color w:val="auto"/>
          <w:spacing w:val="0"/>
          <w:sz w:val="36"/>
          <w:szCs w:val="36"/>
          <w:highlight w:val="none"/>
          <w:lang w:val="en-US" w:eastAsia="zh-CN"/>
        </w:rPr>
      </w:pPr>
      <w:r>
        <w:rPr>
          <w:rFonts w:hint="eastAsia" w:ascii="仿宋" w:hAnsi="仿宋" w:eastAsia="仿宋" w:cs="仿宋"/>
          <w:color w:val="auto"/>
          <w:spacing w:val="0"/>
          <w:sz w:val="36"/>
          <w:szCs w:val="36"/>
          <w:highlight w:val="none"/>
        </w:rPr>
        <w:fldChar w:fldCharType="begin"/>
      </w:r>
      <w:r>
        <w:rPr>
          <w:rFonts w:hint="eastAsia" w:ascii="仿宋" w:hAnsi="仿宋" w:eastAsia="仿宋" w:cs="仿宋"/>
          <w:color w:val="auto"/>
          <w:spacing w:val="0"/>
          <w:sz w:val="36"/>
          <w:szCs w:val="36"/>
          <w:highlight w:val="none"/>
        </w:rPr>
        <w:instrText xml:space="preserve"> HYPERLINK \l "_Toc69323339" </w:instrText>
      </w:r>
      <w:r>
        <w:rPr>
          <w:rFonts w:hint="eastAsia" w:ascii="仿宋" w:hAnsi="仿宋" w:eastAsia="仿宋" w:cs="仿宋"/>
          <w:color w:val="auto"/>
          <w:spacing w:val="0"/>
          <w:sz w:val="36"/>
          <w:szCs w:val="36"/>
          <w:highlight w:val="none"/>
        </w:rPr>
        <w:fldChar w:fldCharType="separate"/>
      </w:r>
      <w:r>
        <w:rPr>
          <w:rStyle w:val="19"/>
          <w:rFonts w:hint="eastAsia" w:ascii="仿宋" w:hAnsi="仿宋" w:eastAsia="仿宋" w:cs="仿宋"/>
          <w:b/>
          <w:bCs/>
          <w:color w:val="auto"/>
          <w:spacing w:val="0"/>
          <w:sz w:val="36"/>
          <w:szCs w:val="36"/>
          <w:highlight w:val="none"/>
        </w:rPr>
        <w:t>第四章遴选需求</w:t>
      </w:r>
      <w:r>
        <w:rPr>
          <w:rFonts w:hint="eastAsia" w:ascii="仿宋" w:hAnsi="仿宋" w:eastAsia="仿宋" w:cs="仿宋"/>
          <w:b/>
          <w:bCs/>
          <w:color w:val="auto"/>
          <w:spacing w:val="0"/>
          <w:sz w:val="36"/>
          <w:szCs w:val="36"/>
          <w:highlight w:val="none"/>
        </w:rPr>
        <w:tab/>
      </w:r>
      <w:r>
        <w:rPr>
          <w:rFonts w:hint="eastAsia" w:ascii="仿宋" w:hAnsi="仿宋" w:eastAsia="仿宋" w:cs="仿宋"/>
          <w:b/>
          <w:bCs/>
          <w:color w:val="auto"/>
          <w:spacing w:val="0"/>
          <w:sz w:val="36"/>
          <w:szCs w:val="36"/>
          <w:highlight w:val="none"/>
          <w:lang w:val="en-US" w:eastAsia="zh-CN"/>
        </w:rPr>
        <w:t>1</w:t>
      </w: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b/>
          <w:bCs/>
          <w:color w:val="auto"/>
          <w:spacing w:val="0"/>
          <w:sz w:val="36"/>
          <w:szCs w:val="36"/>
          <w:highlight w:val="none"/>
          <w:lang w:val="en-US" w:eastAsia="zh-CN"/>
        </w:rPr>
        <w:t>8</w:t>
      </w:r>
    </w:p>
    <w:p w14:paraId="55611E61">
      <w:pPr>
        <w:pStyle w:val="12"/>
        <w:pageBreakBefore w:val="0"/>
        <w:tabs>
          <w:tab w:val="right" w:leader="dot" w:pos="9736"/>
        </w:tabs>
        <w:kinsoku/>
        <w:wordWrap/>
        <w:overflowPunct/>
        <w:topLinePunct w:val="0"/>
        <w:bidi w:val="0"/>
        <w:snapToGrid/>
        <w:spacing w:line="720" w:lineRule="auto"/>
        <w:rPr>
          <w:rFonts w:hint="default" w:ascii="仿宋" w:hAnsi="仿宋" w:eastAsia="仿宋" w:cs="仿宋"/>
          <w:b/>
          <w:bCs/>
          <w:color w:val="auto"/>
          <w:spacing w:val="0"/>
          <w:sz w:val="36"/>
          <w:szCs w:val="36"/>
          <w:highlight w:val="none"/>
          <w:lang w:val="en-US" w:eastAsia="zh-CN"/>
        </w:rPr>
      </w:pPr>
      <w:r>
        <w:rPr>
          <w:rFonts w:hint="eastAsia" w:ascii="仿宋" w:hAnsi="仿宋" w:eastAsia="仿宋" w:cs="仿宋"/>
          <w:color w:val="auto"/>
          <w:spacing w:val="0"/>
          <w:sz w:val="36"/>
          <w:szCs w:val="36"/>
          <w:highlight w:val="none"/>
        </w:rPr>
        <w:fldChar w:fldCharType="begin"/>
      </w:r>
      <w:r>
        <w:rPr>
          <w:rFonts w:hint="eastAsia" w:ascii="仿宋" w:hAnsi="仿宋" w:eastAsia="仿宋" w:cs="仿宋"/>
          <w:color w:val="auto"/>
          <w:spacing w:val="0"/>
          <w:sz w:val="36"/>
          <w:szCs w:val="36"/>
          <w:highlight w:val="none"/>
        </w:rPr>
        <w:instrText xml:space="preserve"> HYPERLINK \l "_Toc69323340" </w:instrText>
      </w:r>
      <w:r>
        <w:rPr>
          <w:rFonts w:hint="eastAsia" w:ascii="仿宋" w:hAnsi="仿宋" w:eastAsia="仿宋" w:cs="仿宋"/>
          <w:color w:val="auto"/>
          <w:spacing w:val="0"/>
          <w:sz w:val="36"/>
          <w:szCs w:val="36"/>
          <w:highlight w:val="none"/>
        </w:rPr>
        <w:fldChar w:fldCharType="separate"/>
      </w:r>
      <w:r>
        <w:rPr>
          <w:rStyle w:val="19"/>
          <w:rFonts w:hint="eastAsia" w:ascii="仿宋" w:hAnsi="仿宋" w:eastAsia="仿宋" w:cs="仿宋"/>
          <w:b/>
          <w:bCs/>
          <w:color w:val="auto"/>
          <w:spacing w:val="0"/>
          <w:sz w:val="36"/>
          <w:szCs w:val="36"/>
          <w:highlight w:val="none"/>
        </w:rPr>
        <w:t>第五章评审办法</w:t>
      </w:r>
      <w:r>
        <w:rPr>
          <w:rFonts w:hint="eastAsia" w:ascii="仿宋" w:hAnsi="仿宋" w:eastAsia="仿宋" w:cs="仿宋"/>
          <w:b/>
          <w:bCs/>
          <w:color w:val="auto"/>
          <w:spacing w:val="0"/>
          <w:sz w:val="36"/>
          <w:szCs w:val="36"/>
          <w:highlight w:val="none"/>
        </w:rPr>
        <w:tab/>
      </w: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b/>
          <w:bCs/>
          <w:color w:val="auto"/>
          <w:spacing w:val="0"/>
          <w:sz w:val="36"/>
          <w:szCs w:val="36"/>
          <w:highlight w:val="none"/>
          <w:lang w:val="en-US" w:eastAsia="zh-CN"/>
        </w:rPr>
        <w:t>22</w:t>
      </w:r>
    </w:p>
    <w:p w14:paraId="2D237A17">
      <w:pPr>
        <w:pStyle w:val="12"/>
        <w:pageBreakBefore w:val="0"/>
        <w:tabs>
          <w:tab w:val="right" w:leader="dot" w:pos="9736"/>
        </w:tabs>
        <w:kinsoku/>
        <w:wordWrap/>
        <w:overflowPunct/>
        <w:topLinePunct w:val="0"/>
        <w:bidi w:val="0"/>
        <w:snapToGrid/>
        <w:spacing w:line="720" w:lineRule="auto"/>
        <w:rPr>
          <w:rFonts w:hint="eastAsia" w:ascii="仿宋" w:hAnsi="仿宋" w:eastAsia="仿宋" w:cs="仿宋"/>
          <w:b/>
          <w:bCs/>
          <w:color w:val="auto"/>
          <w:spacing w:val="0"/>
          <w:sz w:val="36"/>
          <w:szCs w:val="36"/>
          <w:highlight w:val="none"/>
          <w:lang w:val="en-US" w:eastAsia="zh-CN"/>
        </w:rPr>
      </w:pPr>
      <w:r>
        <w:rPr>
          <w:rFonts w:hint="eastAsia" w:ascii="仿宋" w:hAnsi="仿宋" w:eastAsia="仿宋" w:cs="仿宋"/>
          <w:color w:val="auto"/>
          <w:spacing w:val="0"/>
          <w:sz w:val="36"/>
          <w:szCs w:val="36"/>
          <w:highlight w:val="none"/>
        </w:rPr>
        <w:fldChar w:fldCharType="begin"/>
      </w:r>
      <w:r>
        <w:rPr>
          <w:rFonts w:hint="eastAsia" w:ascii="仿宋" w:hAnsi="仿宋" w:eastAsia="仿宋" w:cs="仿宋"/>
          <w:color w:val="auto"/>
          <w:spacing w:val="0"/>
          <w:sz w:val="36"/>
          <w:szCs w:val="36"/>
          <w:highlight w:val="none"/>
        </w:rPr>
        <w:instrText xml:space="preserve"> HYPERLINK \l "_Toc69323341" </w:instrText>
      </w:r>
      <w:r>
        <w:rPr>
          <w:rFonts w:hint="eastAsia" w:ascii="仿宋" w:hAnsi="仿宋" w:eastAsia="仿宋" w:cs="仿宋"/>
          <w:color w:val="auto"/>
          <w:spacing w:val="0"/>
          <w:sz w:val="36"/>
          <w:szCs w:val="36"/>
          <w:highlight w:val="none"/>
        </w:rPr>
        <w:fldChar w:fldCharType="separate"/>
      </w:r>
      <w:r>
        <w:rPr>
          <w:rStyle w:val="19"/>
          <w:rFonts w:hint="eastAsia" w:ascii="仿宋" w:hAnsi="仿宋" w:eastAsia="仿宋" w:cs="仿宋"/>
          <w:b/>
          <w:bCs/>
          <w:color w:val="auto"/>
          <w:spacing w:val="0"/>
          <w:sz w:val="36"/>
          <w:szCs w:val="36"/>
          <w:highlight w:val="none"/>
        </w:rPr>
        <w:t>第六章采购合同（范本）</w:t>
      </w:r>
      <w:r>
        <w:rPr>
          <w:rFonts w:hint="eastAsia" w:ascii="仿宋" w:hAnsi="仿宋" w:eastAsia="仿宋" w:cs="仿宋"/>
          <w:b/>
          <w:bCs/>
          <w:color w:val="auto"/>
          <w:spacing w:val="0"/>
          <w:sz w:val="36"/>
          <w:szCs w:val="36"/>
          <w:highlight w:val="none"/>
        </w:rPr>
        <w:tab/>
      </w:r>
      <w:r>
        <w:rPr>
          <w:rFonts w:hint="eastAsia" w:ascii="仿宋" w:hAnsi="仿宋" w:eastAsia="仿宋" w:cs="仿宋"/>
          <w:b/>
          <w:bCs/>
          <w:color w:val="auto"/>
          <w:spacing w:val="0"/>
          <w:sz w:val="36"/>
          <w:szCs w:val="36"/>
          <w:highlight w:val="none"/>
          <w:lang w:val="en-US" w:eastAsia="zh-CN"/>
        </w:rPr>
        <w:t>2</w:t>
      </w: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b/>
          <w:bCs/>
          <w:color w:val="auto"/>
          <w:spacing w:val="0"/>
          <w:sz w:val="36"/>
          <w:szCs w:val="36"/>
          <w:highlight w:val="none"/>
          <w:lang w:val="en-US" w:eastAsia="zh-CN"/>
        </w:rPr>
        <w:t>6</w:t>
      </w:r>
    </w:p>
    <w:p w14:paraId="13C11369">
      <w:pPr>
        <w:pageBreakBefore w:val="0"/>
        <w:tabs>
          <w:tab w:val="left" w:pos="3544"/>
        </w:tabs>
        <w:kinsoku/>
        <w:wordWrap/>
        <w:overflowPunct/>
        <w:topLinePunct w:val="0"/>
        <w:bidi w:val="0"/>
        <w:snapToGrid/>
        <w:spacing w:line="720" w:lineRule="auto"/>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36"/>
          <w:szCs w:val="36"/>
          <w:highlight w:val="none"/>
        </w:rPr>
        <w:fldChar w:fldCharType="end"/>
      </w:r>
      <w:r>
        <w:rPr>
          <w:rFonts w:hint="eastAsia" w:ascii="仿宋" w:hAnsi="仿宋" w:eastAsia="仿宋" w:cs="仿宋"/>
          <w:color w:val="auto"/>
          <w:spacing w:val="0"/>
          <w:sz w:val="24"/>
          <w:szCs w:val="24"/>
          <w:highlight w:val="none"/>
        </w:rPr>
        <w:tab/>
      </w:r>
    </w:p>
    <w:p w14:paraId="776CF97B">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p w14:paraId="78F3514A">
      <w:pPr>
        <w:pageBreakBefore w:val="0"/>
        <w:tabs>
          <w:tab w:val="left" w:pos="4980"/>
        </w:tabs>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ab/>
      </w:r>
    </w:p>
    <w:p w14:paraId="505010AD">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p w14:paraId="7ED31809">
      <w:pPr>
        <w:pageBreakBefore w:val="0"/>
        <w:widowControl/>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br w:type="page"/>
      </w:r>
    </w:p>
    <w:p w14:paraId="3AB80FBA">
      <w:pPr>
        <w:pStyle w:val="2"/>
        <w:pageBreakBefore w:val="0"/>
        <w:kinsoku/>
        <w:wordWrap/>
        <w:overflowPunct/>
        <w:topLinePunct w:val="0"/>
        <w:bidi w:val="0"/>
        <w:snapToGrid/>
        <w:spacing w:before="0" w:after="0" w:line="0" w:lineRule="atLeast"/>
        <w:jc w:val="center"/>
        <w:rPr>
          <w:rFonts w:hint="eastAsia" w:ascii="仿宋" w:hAnsi="仿宋" w:eastAsia="仿宋" w:cs="仿宋"/>
          <w:b w:val="0"/>
          <w:color w:val="auto"/>
          <w:spacing w:val="0"/>
          <w:sz w:val="24"/>
          <w:szCs w:val="24"/>
          <w:highlight w:val="none"/>
        </w:rPr>
        <w:sectPr>
          <w:headerReference r:id="rId3" w:type="default"/>
          <w:footerReference r:id="rId4" w:type="default"/>
          <w:pgSz w:w="11906" w:h="16838"/>
          <w:pgMar w:top="1440" w:right="1080" w:bottom="1440" w:left="1080" w:header="851" w:footer="992" w:gutter="0"/>
          <w:pgNumType w:fmt="numberInDash" w:start="1"/>
          <w:cols w:space="425" w:num="1"/>
          <w:docGrid w:type="lines" w:linePitch="312" w:charSpace="0"/>
        </w:sectPr>
      </w:pPr>
    </w:p>
    <w:p w14:paraId="62D9A775">
      <w:pPr>
        <w:pStyle w:val="2"/>
        <w:pageBreakBefore w:val="0"/>
        <w:kinsoku/>
        <w:wordWrap/>
        <w:overflowPunct/>
        <w:topLinePunct w:val="0"/>
        <w:bidi w:val="0"/>
        <w:snapToGrid/>
        <w:spacing w:before="0" w:after="0" w:line="0" w:lineRule="atLeast"/>
        <w:jc w:val="center"/>
        <w:rPr>
          <w:rFonts w:hint="eastAsia" w:ascii="仿宋" w:hAnsi="仿宋" w:eastAsia="仿宋" w:cs="仿宋"/>
          <w:bCs w:val="0"/>
          <w:color w:val="auto"/>
          <w:spacing w:val="0"/>
          <w:sz w:val="30"/>
          <w:szCs w:val="30"/>
          <w:highlight w:val="none"/>
        </w:rPr>
      </w:pPr>
      <w:bookmarkStart w:id="0" w:name="_Toc66971932"/>
      <w:bookmarkStart w:id="1" w:name="_Toc69323336"/>
      <w:r>
        <w:rPr>
          <w:rFonts w:hint="eastAsia" w:ascii="仿宋" w:hAnsi="仿宋" w:eastAsia="仿宋" w:cs="仿宋"/>
          <w:bCs w:val="0"/>
          <w:color w:val="auto"/>
          <w:spacing w:val="0"/>
          <w:sz w:val="30"/>
          <w:szCs w:val="30"/>
          <w:highlight w:val="none"/>
        </w:rPr>
        <w:t>第一章遴选邀请</w:t>
      </w:r>
      <w:bookmarkEnd w:id="0"/>
      <w:bookmarkEnd w:id="1"/>
    </w:p>
    <w:p w14:paraId="44BADBFB">
      <w:pPr>
        <w:pageBreakBefore w:val="0"/>
        <w:kinsoku/>
        <w:wordWrap/>
        <w:overflowPunct/>
        <w:topLinePunct w:val="0"/>
        <w:bidi w:val="0"/>
        <w:snapToGrid/>
        <w:spacing w:line="0" w:lineRule="atLeast"/>
        <w:ind w:firstLine="480" w:firstLineChars="200"/>
        <w:rPr>
          <w:rFonts w:hint="eastAsia" w:ascii="仿宋" w:hAnsi="仿宋" w:eastAsia="仿宋" w:cs="仿宋"/>
          <w:b w:val="0"/>
          <w:bCs/>
          <w:color w:val="auto"/>
          <w:spacing w:val="0"/>
          <w:sz w:val="24"/>
          <w:szCs w:val="24"/>
          <w:highlight w:val="none"/>
          <w:u w:val="none"/>
        </w:rPr>
      </w:pPr>
      <w:r>
        <w:rPr>
          <w:rFonts w:hint="eastAsia" w:ascii="仿宋" w:hAnsi="仿宋" w:eastAsia="仿宋" w:cs="仿宋"/>
          <w:b w:val="0"/>
          <w:bCs/>
          <w:color w:val="auto"/>
          <w:spacing w:val="0"/>
          <w:sz w:val="24"/>
          <w:szCs w:val="24"/>
          <w:highlight w:val="none"/>
          <w:u w:val="none"/>
        </w:rPr>
        <w:t>成都市成华区第七人民医院拟对“</w:t>
      </w:r>
      <w:r>
        <w:rPr>
          <w:rFonts w:hint="eastAsia" w:ascii="仿宋" w:hAnsi="仿宋" w:eastAsia="仿宋" w:cs="仿宋"/>
          <w:b/>
          <w:bCs w:val="0"/>
          <w:color w:val="auto"/>
          <w:spacing w:val="0"/>
          <w:sz w:val="24"/>
          <w:szCs w:val="24"/>
          <w:highlight w:val="none"/>
          <w:u w:val="none"/>
        </w:rPr>
        <w:t>成都市成华区第七人民医院</w:t>
      </w:r>
      <w:r>
        <w:rPr>
          <w:rFonts w:hint="eastAsia" w:ascii="仿宋" w:hAnsi="仿宋" w:eastAsia="仿宋" w:cs="仿宋"/>
          <w:b/>
          <w:bCs w:val="0"/>
          <w:color w:val="auto"/>
          <w:spacing w:val="0"/>
          <w:sz w:val="24"/>
          <w:szCs w:val="24"/>
          <w:highlight w:val="none"/>
          <w:u w:val="none"/>
          <w:lang w:eastAsia="zh-CN"/>
        </w:rPr>
        <w:t>2026-2028年职工补充医疗保险遴选项目（第二次）</w:t>
      </w:r>
      <w:r>
        <w:rPr>
          <w:rFonts w:hint="eastAsia" w:ascii="仿宋" w:hAnsi="仿宋" w:eastAsia="仿宋" w:cs="仿宋"/>
          <w:b w:val="0"/>
          <w:bCs/>
          <w:color w:val="auto"/>
          <w:spacing w:val="0"/>
          <w:sz w:val="24"/>
          <w:szCs w:val="24"/>
          <w:highlight w:val="none"/>
          <w:u w:val="none"/>
        </w:rPr>
        <w:t>”进行公告遴选，兹邀请相关投标人参加遴选。</w:t>
      </w:r>
    </w:p>
    <w:p w14:paraId="2CF770BE">
      <w:pPr>
        <w:pStyle w:val="7"/>
        <w:pageBreakBefore w:val="0"/>
        <w:kinsoku/>
        <w:overflowPunct/>
        <w:topLinePunct w:val="0"/>
        <w:bidi w:val="0"/>
        <w:spacing w:after="0"/>
        <w:rPr>
          <w:rFonts w:hint="eastAsia" w:ascii="仿宋" w:hAnsi="仿宋" w:eastAsia="仿宋" w:cs="仿宋"/>
          <w:b/>
          <w:color w:val="auto"/>
          <w:spacing w:val="0"/>
          <w:sz w:val="24"/>
          <w:szCs w:val="24"/>
          <w:highlight w:val="none"/>
          <w:lang w:eastAsia="zh-CN"/>
        </w:rPr>
      </w:pPr>
      <w:r>
        <w:rPr>
          <w:rFonts w:hint="eastAsia" w:ascii="仿宋" w:hAnsi="仿宋" w:eastAsia="仿宋" w:cs="仿宋"/>
          <w:b/>
          <w:color w:val="auto"/>
          <w:spacing w:val="0"/>
          <w:sz w:val="24"/>
          <w:szCs w:val="24"/>
          <w:highlight w:val="none"/>
          <w:lang w:val="en-US" w:eastAsia="zh-CN"/>
        </w:rPr>
        <w:t>一、</w:t>
      </w:r>
      <w:r>
        <w:rPr>
          <w:rFonts w:hint="eastAsia" w:ascii="仿宋" w:hAnsi="仿宋" w:eastAsia="仿宋" w:cs="仿宋"/>
          <w:b/>
          <w:color w:val="auto"/>
          <w:spacing w:val="0"/>
          <w:sz w:val="24"/>
          <w:szCs w:val="24"/>
          <w:highlight w:val="none"/>
        </w:rPr>
        <w:t>项目名称：成都市成华区</w:t>
      </w:r>
      <w:r>
        <w:rPr>
          <w:rFonts w:hint="eastAsia" w:ascii="仿宋" w:hAnsi="仿宋" w:eastAsia="仿宋" w:cs="仿宋"/>
          <w:b/>
          <w:color w:val="auto"/>
          <w:spacing w:val="0"/>
          <w:sz w:val="24"/>
          <w:szCs w:val="24"/>
          <w:highlight w:val="none"/>
          <w:lang w:val="en-US" w:eastAsia="zh-CN"/>
        </w:rPr>
        <w:t>第七人民医院</w:t>
      </w:r>
      <w:r>
        <w:rPr>
          <w:rFonts w:hint="eastAsia" w:ascii="仿宋" w:hAnsi="仿宋" w:eastAsia="仿宋" w:cs="仿宋"/>
          <w:b/>
          <w:color w:val="auto"/>
          <w:spacing w:val="0"/>
          <w:sz w:val="24"/>
          <w:szCs w:val="24"/>
          <w:highlight w:val="none"/>
          <w:lang w:eastAsia="zh-CN"/>
        </w:rPr>
        <w:t>2026-2028年职工补充医疗保险遴选项目（第二次）</w:t>
      </w:r>
    </w:p>
    <w:p w14:paraId="67A7845D">
      <w:pPr>
        <w:pStyle w:val="7"/>
        <w:pageBreakBefore w:val="0"/>
        <w:kinsoku/>
        <w:overflowPunct/>
        <w:topLinePunct w:val="0"/>
        <w:bidi w:val="0"/>
        <w:spacing w:after="0"/>
        <w:rPr>
          <w:rFonts w:hint="default" w:ascii="仿宋" w:hAnsi="仿宋" w:eastAsia="仿宋" w:cs="仿宋"/>
          <w:b w:val="0"/>
          <w:bCs/>
          <w:color w:val="auto"/>
          <w:spacing w:val="0"/>
          <w:sz w:val="24"/>
          <w:szCs w:val="24"/>
          <w:highlight w:val="none"/>
          <w:lang w:val="en-US" w:eastAsia="zh-CN"/>
        </w:rPr>
      </w:pPr>
      <w:r>
        <w:rPr>
          <w:rFonts w:hint="eastAsia" w:ascii="仿宋" w:hAnsi="仿宋" w:eastAsia="仿宋" w:cs="仿宋"/>
          <w:b/>
          <w:color w:val="auto"/>
          <w:spacing w:val="0"/>
          <w:sz w:val="24"/>
          <w:szCs w:val="24"/>
          <w:highlight w:val="none"/>
          <w:lang w:val="en-US" w:eastAsia="zh-CN"/>
        </w:rPr>
        <w:t>二、项目编号：</w:t>
      </w:r>
      <w:r>
        <w:rPr>
          <w:rFonts w:hint="eastAsia" w:ascii="仿宋" w:hAnsi="仿宋" w:eastAsia="仿宋" w:cs="仿宋"/>
          <w:b w:val="0"/>
          <w:bCs/>
          <w:color w:val="auto"/>
          <w:spacing w:val="0"/>
          <w:sz w:val="24"/>
          <w:szCs w:val="24"/>
          <w:highlight w:val="none"/>
          <w:lang w:val="en-US" w:eastAsia="zh-CN"/>
        </w:rPr>
        <w:t>CH7YY-20260802L1</w:t>
      </w:r>
    </w:p>
    <w:p w14:paraId="1CED2E64">
      <w:pPr>
        <w:pStyle w:val="7"/>
        <w:pageBreakBefore w:val="0"/>
        <w:kinsoku/>
        <w:overflowPunct/>
        <w:topLinePunct w:val="0"/>
        <w:bidi w:val="0"/>
        <w:spacing w:after="0"/>
        <w:rPr>
          <w:rFonts w:hint="default"/>
          <w:b w:val="0"/>
          <w:bCs/>
          <w:color w:val="auto"/>
          <w:highlight w:val="none"/>
          <w:lang w:val="en-US" w:eastAsia="zh-CN"/>
        </w:rPr>
      </w:pPr>
      <w:r>
        <w:rPr>
          <w:rFonts w:hint="eastAsia" w:ascii="仿宋" w:hAnsi="仿宋" w:eastAsia="仿宋" w:cs="仿宋"/>
          <w:b/>
          <w:color w:val="auto"/>
          <w:spacing w:val="0"/>
          <w:sz w:val="24"/>
          <w:szCs w:val="24"/>
          <w:highlight w:val="none"/>
          <w:lang w:val="en-US" w:eastAsia="zh-CN"/>
        </w:rPr>
        <w:t>三、品目名称：</w:t>
      </w:r>
      <w:r>
        <w:rPr>
          <w:rFonts w:hint="eastAsia" w:ascii="仿宋" w:hAnsi="仿宋" w:eastAsia="仿宋" w:cs="仿宋"/>
          <w:b w:val="0"/>
          <w:bCs/>
          <w:color w:val="auto"/>
          <w:spacing w:val="0"/>
          <w:sz w:val="24"/>
          <w:szCs w:val="24"/>
          <w:highlight w:val="none"/>
          <w:lang w:val="en-US" w:eastAsia="zh-CN"/>
        </w:rPr>
        <w:t>C17549900（其他保险服务）</w:t>
      </w:r>
    </w:p>
    <w:p w14:paraId="45A1F1A3">
      <w:pPr>
        <w:pageBreakBefore w:val="0"/>
        <w:kinsoku/>
        <w:wordWrap/>
        <w:overflowPunct/>
        <w:topLinePunct w:val="0"/>
        <w:bidi w:val="0"/>
        <w:snapToGrid/>
        <w:spacing w:line="0" w:lineRule="atLeast"/>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lang w:val="en-US" w:eastAsia="zh-CN"/>
        </w:rPr>
        <w:t>四</w:t>
      </w:r>
      <w:r>
        <w:rPr>
          <w:rFonts w:hint="eastAsia" w:ascii="仿宋" w:hAnsi="仿宋" w:eastAsia="仿宋" w:cs="仿宋"/>
          <w:b/>
          <w:color w:val="auto"/>
          <w:spacing w:val="0"/>
          <w:sz w:val="24"/>
          <w:szCs w:val="24"/>
          <w:highlight w:val="none"/>
        </w:rPr>
        <w:t>、项目概况：</w:t>
      </w:r>
    </w:p>
    <w:p w14:paraId="35B22E2C">
      <w:pPr>
        <w:pStyle w:val="7"/>
        <w:keepNext w:val="0"/>
        <w:keepLines w:val="0"/>
        <w:pageBreakBefore w:val="0"/>
        <w:widowControl w:val="0"/>
        <w:kinsoku/>
        <w:wordWrap/>
        <w:overflowPunct/>
        <w:topLinePunct w:val="0"/>
        <w:autoSpaceDE/>
        <w:autoSpaceDN/>
        <w:bidi w:val="0"/>
        <w:adjustRightInd/>
        <w:snapToGrid/>
        <w:spacing w:after="0" w:line="0" w:lineRule="atLeas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为进一步完善本院职工福利保障体系，补齐职工重疾、意外、医疗、住院津贴等风险保障短板，切实维护全院在职职工权益，规范医院保险服务采购流程，保障采购工作公开、公平、公正、合规，我院现开展职工保险服务遴选工作。本次遴选旨在通过综合对比供应商保障方案、报价标准、服务能力及履约实力等，筛选出适配本院职工需求的优质保险服务供应商。</w:t>
      </w:r>
    </w:p>
    <w:p w14:paraId="3577A7E3">
      <w:pPr>
        <w:pStyle w:val="7"/>
        <w:keepNext w:val="0"/>
        <w:keepLines w:val="0"/>
        <w:pageBreakBefore w:val="0"/>
        <w:widowControl w:val="0"/>
        <w:kinsoku/>
        <w:wordWrap/>
        <w:overflowPunct/>
        <w:topLinePunct w:val="0"/>
        <w:autoSpaceDE/>
        <w:autoSpaceDN/>
        <w:bidi w:val="0"/>
        <w:adjustRightInd/>
        <w:snapToGrid/>
        <w:spacing w:after="0" w:line="0" w:lineRule="atLeast"/>
        <w:textAlignment w:val="auto"/>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五</w:t>
      </w:r>
      <w:r>
        <w:rPr>
          <w:rFonts w:hint="eastAsia" w:ascii="仿宋" w:hAnsi="仿宋" w:eastAsia="仿宋" w:cs="仿宋"/>
          <w:b/>
          <w:bCs/>
          <w:color w:val="auto"/>
          <w:spacing w:val="0"/>
          <w:sz w:val="24"/>
          <w:szCs w:val="24"/>
          <w:highlight w:val="none"/>
        </w:rPr>
        <w:t>、预算金额及最高限价：</w:t>
      </w:r>
    </w:p>
    <w:p w14:paraId="1D25BB4A">
      <w:pPr>
        <w:pStyle w:val="7"/>
        <w:keepNext w:val="0"/>
        <w:keepLines w:val="0"/>
        <w:pageBreakBefore w:val="0"/>
        <w:widowControl w:val="0"/>
        <w:kinsoku/>
        <w:wordWrap/>
        <w:overflowPunct/>
        <w:topLinePunct w:val="0"/>
        <w:autoSpaceDE/>
        <w:autoSpaceDN/>
        <w:bidi w:val="0"/>
        <w:adjustRightInd/>
        <w:snapToGrid/>
        <w:spacing w:after="0" w:line="0" w:lineRule="atLeast"/>
        <w:ind w:firstLine="480" w:firstLineChars="200"/>
        <w:textAlignment w:val="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本项目预算金额为</w:t>
      </w:r>
      <w:r>
        <w:rPr>
          <w:rFonts w:hint="eastAsia" w:ascii="仿宋" w:hAnsi="仿宋" w:eastAsia="仿宋" w:cs="仿宋"/>
          <w:b/>
          <w:bCs/>
          <w:color w:val="auto"/>
          <w:spacing w:val="0"/>
          <w:sz w:val="24"/>
          <w:szCs w:val="24"/>
          <w:highlight w:val="none"/>
          <w:lang w:eastAsia="zh-CN"/>
        </w:rPr>
        <w:t>60600元/年（人民币：</w:t>
      </w:r>
      <w:r>
        <w:rPr>
          <w:rFonts w:hint="eastAsia" w:ascii="仿宋" w:hAnsi="仿宋" w:eastAsia="仿宋" w:cs="仿宋"/>
          <w:b/>
          <w:bCs/>
          <w:color w:val="auto"/>
          <w:sz w:val="24"/>
          <w:szCs w:val="24"/>
          <w:highlight w:val="none"/>
        </w:rPr>
        <w:t>陆万零陆佰元整</w:t>
      </w:r>
      <w:r>
        <w:rPr>
          <w:rFonts w:hint="eastAsia" w:ascii="仿宋" w:hAnsi="仿宋" w:eastAsia="仿宋" w:cs="仿宋"/>
          <w:b/>
          <w:bCs/>
          <w:color w:val="auto"/>
          <w:spacing w:val="0"/>
          <w:sz w:val="24"/>
          <w:szCs w:val="24"/>
          <w:highlight w:val="none"/>
          <w:lang w:eastAsia="zh-CN"/>
        </w:rPr>
        <w:t>）</w:t>
      </w:r>
      <w:r>
        <w:rPr>
          <w:rFonts w:hint="eastAsia" w:ascii="仿宋" w:hAnsi="仿宋" w:eastAsia="仿宋" w:cs="仿宋"/>
          <w:color w:val="auto"/>
          <w:spacing w:val="0"/>
          <w:sz w:val="24"/>
          <w:szCs w:val="24"/>
          <w:highlight w:val="none"/>
        </w:rPr>
        <w:t>。本项目预算金额即为最高限价，</w:t>
      </w:r>
      <w:r>
        <w:rPr>
          <w:rFonts w:hint="eastAsia" w:ascii="仿宋" w:hAnsi="仿宋" w:eastAsia="仿宋" w:cs="仿宋"/>
          <w:color w:val="auto"/>
          <w:spacing w:val="0"/>
          <w:sz w:val="24"/>
          <w:szCs w:val="24"/>
          <w:highlight w:val="none"/>
          <w:lang w:eastAsia="zh-CN"/>
        </w:rPr>
        <w:t>遴选申请人</w:t>
      </w:r>
      <w:r>
        <w:rPr>
          <w:rFonts w:hint="eastAsia" w:ascii="仿宋" w:hAnsi="仿宋" w:eastAsia="仿宋" w:cs="仿宋"/>
          <w:color w:val="auto"/>
          <w:spacing w:val="0"/>
          <w:sz w:val="24"/>
          <w:szCs w:val="24"/>
          <w:highlight w:val="none"/>
        </w:rPr>
        <w:t>报价不得超过本项目最高限价，否则作无效投标处理。</w:t>
      </w:r>
    </w:p>
    <w:p w14:paraId="61B2C942">
      <w:pPr>
        <w:pageBreakBefore w:val="0"/>
        <w:kinsoku/>
        <w:wordWrap/>
        <w:overflowPunct/>
        <w:topLinePunct w:val="0"/>
        <w:bidi w:val="0"/>
        <w:snapToGrid/>
        <w:spacing w:line="0" w:lineRule="atLeast"/>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lang w:val="en-US" w:eastAsia="zh-CN"/>
        </w:rPr>
        <w:t>六</w:t>
      </w:r>
      <w:r>
        <w:rPr>
          <w:rFonts w:hint="eastAsia" w:ascii="仿宋" w:hAnsi="仿宋" w:eastAsia="仿宋" w:cs="仿宋"/>
          <w:b/>
          <w:color w:val="auto"/>
          <w:spacing w:val="0"/>
          <w:sz w:val="24"/>
          <w:szCs w:val="24"/>
          <w:highlight w:val="none"/>
        </w:rPr>
        <w:t>、遴选申请人资格要求：</w:t>
      </w:r>
    </w:p>
    <w:p w14:paraId="3D3B264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bookmarkStart w:id="2" w:name="OLE_LINK1"/>
      <w:bookmarkStart w:id="3" w:name="OLE_LINK2"/>
      <w:r>
        <w:rPr>
          <w:rFonts w:hint="eastAsia" w:ascii="仿宋" w:hAnsi="仿宋" w:eastAsia="仿宋" w:cs="仿宋"/>
          <w:color w:val="auto"/>
          <w:spacing w:val="0"/>
          <w:sz w:val="24"/>
          <w:szCs w:val="24"/>
          <w:highlight w:val="none"/>
          <w:lang w:val="en-US" w:eastAsia="zh-CN"/>
        </w:rPr>
        <w:t>6.1</w:t>
      </w:r>
      <w:r>
        <w:rPr>
          <w:rFonts w:hint="eastAsia" w:ascii="仿宋" w:hAnsi="仿宋" w:eastAsia="仿宋" w:cs="仿宋"/>
          <w:color w:val="auto"/>
          <w:spacing w:val="0"/>
          <w:sz w:val="24"/>
          <w:szCs w:val="24"/>
          <w:highlight w:val="none"/>
        </w:rPr>
        <w:t>具有独立承担民事责任的能力；</w:t>
      </w:r>
    </w:p>
    <w:p w14:paraId="11CB0C9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6.2</w:t>
      </w:r>
      <w:r>
        <w:rPr>
          <w:rFonts w:hint="eastAsia" w:ascii="仿宋" w:hAnsi="仿宋" w:eastAsia="仿宋" w:cs="仿宋"/>
          <w:color w:val="auto"/>
          <w:spacing w:val="0"/>
          <w:sz w:val="24"/>
          <w:szCs w:val="24"/>
          <w:highlight w:val="none"/>
        </w:rPr>
        <w:t>具有良好的商业信誉和健全的财务会计制度；</w:t>
      </w:r>
    </w:p>
    <w:p w14:paraId="44BD026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6.3</w:t>
      </w:r>
      <w:r>
        <w:rPr>
          <w:rFonts w:hint="eastAsia" w:ascii="仿宋" w:hAnsi="仿宋" w:eastAsia="仿宋" w:cs="仿宋"/>
          <w:color w:val="auto"/>
          <w:spacing w:val="0"/>
          <w:sz w:val="24"/>
          <w:szCs w:val="24"/>
          <w:highlight w:val="none"/>
        </w:rPr>
        <w:t>具有履行合同所必需的设备和专业技术能力；</w:t>
      </w:r>
    </w:p>
    <w:p w14:paraId="5F6DC1F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6.4</w:t>
      </w:r>
      <w:r>
        <w:rPr>
          <w:rFonts w:hint="eastAsia" w:ascii="仿宋" w:hAnsi="仿宋" w:eastAsia="仿宋" w:cs="仿宋"/>
          <w:color w:val="auto"/>
          <w:spacing w:val="0"/>
          <w:sz w:val="24"/>
          <w:szCs w:val="24"/>
          <w:highlight w:val="none"/>
        </w:rPr>
        <w:t>具有依法缴纳税收和社会保障资金的良好记录；</w:t>
      </w:r>
    </w:p>
    <w:p w14:paraId="3FC7BF6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6.5</w:t>
      </w:r>
      <w:r>
        <w:rPr>
          <w:rFonts w:hint="eastAsia" w:ascii="仿宋" w:hAnsi="仿宋" w:eastAsia="仿宋" w:cs="仿宋"/>
          <w:color w:val="auto"/>
          <w:spacing w:val="0"/>
          <w:sz w:val="24"/>
          <w:szCs w:val="24"/>
          <w:highlight w:val="none"/>
        </w:rPr>
        <w:t>参加本次遴选活动前三年内，在经营活动中没有重大违法记录；</w:t>
      </w:r>
    </w:p>
    <w:p w14:paraId="26685153">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6.6</w:t>
      </w:r>
      <w:r>
        <w:rPr>
          <w:rFonts w:hint="eastAsia" w:ascii="仿宋" w:hAnsi="仿宋" w:eastAsia="仿宋" w:cs="仿宋"/>
          <w:color w:val="auto"/>
          <w:spacing w:val="0"/>
          <w:sz w:val="24"/>
          <w:szCs w:val="24"/>
          <w:highlight w:val="none"/>
        </w:rPr>
        <w:t>遴选申请人还符合法律、行政法规规定的其他强制性条件；</w:t>
      </w:r>
    </w:p>
    <w:p w14:paraId="00833DA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6.7</w:t>
      </w:r>
      <w:r>
        <w:rPr>
          <w:rFonts w:hint="eastAsia" w:ascii="仿宋" w:hAnsi="仿宋" w:eastAsia="仿宋" w:cs="仿宋"/>
          <w:color w:val="auto"/>
          <w:spacing w:val="0"/>
          <w:sz w:val="24"/>
          <w:szCs w:val="24"/>
          <w:highlight w:val="none"/>
        </w:rPr>
        <w:t>本项目不接受联合体参与。</w:t>
      </w:r>
    </w:p>
    <w:p w14:paraId="65F53E83">
      <w:pPr>
        <w:pageBreakBefore w:val="0"/>
        <w:kinsoku/>
        <w:wordWrap/>
        <w:overflowPunct/>
        <w:topLinePunct w:val="0"/>
        <w:bidi w:val="0"/>
        <w:snapToGrid/>
        <w:spacing w:line="0" w:lineRule="atLeast"/>
        <w:ind w:firstLine="482" w:firstLineChars="200"/>
        <w:rPr>
          <w:rFonts w:hint="eastAsia" w:ascii="仿宋" w:hAnsi="仿宋" w:eastAsia="仿宋" w:cs="仿宋"/>
          <w:b/>
          <w:bCs/>
          <w:color w:val="auto"/>
          <w:spacing w:val="0"/>
          <w:sz w:val="24"/>
          <w:szCs w:val="24"/>
          <w:highlight w:val="none"/>
          <w:lang w:eastAsia="zh-CN"/>
        </w:rPr>
      </w:pPr>
      <w:r>
        <w:rPr>
          <w:rFonts w:hint="eastAsia" w:ascii="仿宋" w:hAnsi="仿宋" w:eastAsia="仿宋" w:cs="仿宋"/>
          <w:b/>
          <w:bCs/>
          <w:color w:val="auto"/>
          <w:spacing w:val="0"/>
          <w:sz w:val="24"/>
          <w:szCs w:val="24"/>
          <w:highlight w:val="none"/>
          <w:lang w:val="en-US" w:eastAsia="zh-CN"/>
        </w:rPr>
        <w:t>6.8</w:t>
      </w:r>
      <w:r>
        <w:rPr>
          <w:rFonts w:hint="eastAsia" w:ascii="仿宋" w:hAnsi="仿宋" w:eastAsia="仿宋" w:cs="仿宋"/>
          <w:b/>
          <w:bCs/>
          <w:color w:val="auto"/>
          <w:spacing w:val="0"/>
          <w:sz w:val="24"/>
          <w:szCs w:val="24"/>
          <w:highlight w:val="none"/>
        </w:rPr>
        <w:t>本项目特定资格要求：</w:t>
      </w:r>
      <w:r>
        <w:rPr>
          <w:rFonts w:hint="eastAsia" w:ascii="仿宋" w:hAnsi="仿宋" w:eastAsia="仿宋" w:cs="仿宋"/>
          <w:b/>
          <w:bCs/>
          <w:color w:val="auto"/>
          <w:sz w:val="24"/>
          <w:szCs w:val="24"/>
          <w:highlight w:val="none"/>
          <w:lang w:eastAsia="zh-CN"/>
        </w:rPr>
        <w:t>遴选申请人</w:t>
      </w:r>
      <w:r>
        <w:rPr>
          <w:rFonts w:hint="eastAsia" w:ascii="仿宋" w:hAnsi="仿宋" w:eastAsia="仿宋" w:cs="仿宋"/>
          <w:b/>
          <w:bCs/>
          <w:color w:val="auto"/>
          <w:sz w:val="24"/>
          <w:szCs w:val="24"/>
          <w:highlight w:val="none"/>
        </w:rPr>
        <w:t>须持有国家金融监督管理总局（或原银保监会）颁发的有效《金融许可证》（或过渡期内的原《保险许可证》），且</w:t>
      </w:r>
      <w:r>
        <w:rPr>
          <w:rFonts w:hint="eastAsia" w:ascii="仿宋" w:hAnsi="仿宋" w:eastAsia="仿宋" w:cs="仿宋"/>
          <w:b/>
          <w:bCs/>
          <w:color w:val="auto"/>
          <w:sz w:val="24"/>
          <w:szCs w:val="24"/>
          <w:highlight w:val="none"/>
          <w:lang w:val="en-US" w:eastAsia="zh-CN"/>
        </w:rPr>
        <w:t>许可证核准的</w:t>
      </w:r>
      <w:r>
        <w:rPr>
          <w:rFonts w:hint="eastAsia" w:ascii="仿宋" w:hAnsi="仿宋" w:eastAsia="仿宋" w:cs="仿宋"/>
          <w:b/>
          <w:bCs/>
          <w:color w:val="auto"/>
          <w:sz w:val="24"/>
          <w:szCs w:val="24"/>
          <w:highlight w:val="none"/>
        </w:rPr>
        <w:t>经营范围包含</w:t>
      </w:r>
      <w:r>
        <w:rPr>
          <w:rFonts w:hint="eastAsia" w:ascii="仿宋" w:hAnsi="仿宋" w:eastAsia="仿宋" w:cs="仿宋"/>
          <w:b/>
          <w:bCs/>
          <w:color w:val="auto"/>
          <w:sz w:val="24"/>
          <w:szCs w:val="24"/>
          <w:highlight w:val="none"/>
          <w:lang w:eastAsia="zh-CN"/>
        </w:rPr>
        <w:t>“健康保险”或“意外伤害险”。</w:t>
      </w:r>
    </w:p>
    <w:bookmarkEnd w:id="2"/>
    <w:bookmarkEnd w:id="3"/>
    <w:p w14:paraId="26BDEC8B">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七</w:t>
      </w:r>
      <w:r>
        <w:rPr>
          <w:rFonts w:hint="eastAsia" w:ascii="仿宋" w:hAnsi="仿宋" w:eastAsia="仿宋" w:cs="仿宋"/>
          <w:b/>
          <w:bCs/>
          <w:color w:val="auto"/>
          <w:spacing w:val="0"/>
          <w:sz w:val="24"/>
          <w:szCs w:val="24"/>
          <w:highlight w:val="none"/>
        </w:rPr>
        <w:t>、遴选文件获取方式、信息发布及联系方式</w:t>
      </w:r>
    </w:p>
    <w:p w14:paraId="5E1E2D16">
      <w:pPr>
        <w:pageBreakBefore w:val="0"/>
        <w:kinsoku/>
        <w:wordWrap/>
        <w:overflowPunct/>
        <w:topLinePunct w:val="0"/>
        <w:bidi w:val="0"/>
        <w:snapToGrid/>
        <w:spacing w:line="0" w:lineRule="atLeast"/>
        <w:ind w:firstLine="48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7.1</w:t>
      </w:r>
      <w:r>
        <w:rPr>
          <w:rFonts w:hint="eastAsia" w:ascii="仿宋" w:hAnsi="仿宋" w:eastAsia="仿宋" w:cs="仿宋"/>
          <w:b/>
          <w:bCs/>
          <w:color w:val="auto"/>
          <w:spacing w:val="0"/>
          <w:sz w:val="24"/>
          <w:szCs w:val="24"/>
          <w:highlight w:val="none"/>
        </w:rPr>
        <w:t>遴选文件获取</w:t>
      </w:r>
    </w:p>
    <w:p w14:paraId="5E04E4A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7.1.1</w:t>
      </w:r>
      <w:r>
        <w:rPr>
          <w:rFonts w:hint="eastAsia" w:ascii="仿宋" w:hAnsi="仿宋" w:eastAsia="仿宋" w:cs="仿宋"/>
          <w:color w:val="auto"/>
          <w:spacing w:val="0"/>
          <w:sz w:val="24"/>
          <w:szCs w:val="24"/>
          <w:highlight w:val="none"/>
        </w:rPr>
        <w:t>获取时间：自本公告发布之日起，至遴选申请文件递交截止时间止。</w:t>
      </w:r>
    </w:p>
    <w:p w14:paraId="04C9379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7.1.2</w:t>
      </w:r>
      <w:r>
        <w:rPr>
          <w:rFonts w:hint="eastAsia" w:ascii="仿宋" w:hAnsi="仿宋" w:eastAsia="仿宋" w:cs="仿宋"/>
          <w:color w:val="auto"/>
          <w:spacing w:val="0"/>
          <w:sz w:val="24"/>
          <w:szCs w:val="24"/>
          <w:highlight w:val="none"/>
        </w:rPr>
        <w:t>获取方式：请登录成都市成华区第七人民医院官方网站（http://www.chqyy.cn/），在“医院动态”栏目中找到本公告，点击下载附件。</w:t>
      </w:r>
    </w:p>
    <w:p w14:paraId="281BA816">
      <w:pPr>
        <w:pageBreakBefore w:val="0"/>
        <w:kinsoku/>
        <w:wordWrap/>
        <w:overflowPunct/>
        <w:topLinePunct w:val="0"/>
        <w:bidi w:val="0"/>
        <w:snapToGrid/>
        <w:spacing w:line="0" w:lineRule="atLeast"/>
        <w:ind w:firstLine="48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7.2</w:t>
      </w:r>
      <w:r>
        <w:rPr>
          <w:rFonts w:hint="eastAsia" w:ascii="仿宋" w:hAnsi="仿宋" w:eastAsia="仿宋" w:cs="仿宋"/>
          <w:b/>
          <w:bCs/>
          <w:color w:val="auto"/>
          <w:spacing w:val="0"/>
          <w:sz w:val="24"/>
          <w:szCs w:val="24"/>
          <w:highlight w:val="none"/>
        </w:rPr>
        <w:t>信息发布平台</w:t>
      </w:r>
    </w:p>
    <w:p w14:paraId="467C9B0B">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本公告及相关信息将通过成都市成华区第七人民医院官网（http://www.chqyy.cn/）统一发布，请各潜在申请人注意查阅并及时关注后续信息 。</w:t>
      </w:r>
    </w:p>
    <w:p w14:paraId="657936C6">
      <w:pPr>
        <w:pageBreakBefore w:val="0"/>
        <w:kinsoku/>
        <w:wordWrap/>
        <w:overflowPunct/>
        <w:topLinePunct w:val="0"/>
        <w:bidi w:val="0"/>
        <w:snapToGrid/>
        <w:spacing w:line="0" w:lineRule="atLeast"/>
        <w:ind w:firstLine="48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7.3</w:t>
      </w:r>
      <w:r>
        <w:rPr>
          <w:rFonts w:hint="eastAsia" w:ascii="仿宋" w:hAnsi="仿宋" w:eastAsia="仿宋" w:cs="仿宋"/>
          <w:b/>
          <w:bCs/>
          <w:color w:val="auto"/>
          <w:spacing w:val="0"/>
          <w:sz w:val="24"/>
          <w:szCs w:val="24"/>
          <w:highlight w:val="none"/>
        </w:rPr>
        <w:t>联系方式</w:t>
      </w:r>
      <w:bookmarkStart w:id="12" w:name="_GoBack"/>
      <w:bookmarkEnd w:id="12"/>
    </w:p>
    <w:p w14:paraId="1583BC4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val="en-US" w:eastAsia="zh-CN"/>
        </w:rPr>
        <w:t>7.3.1</w:t>
      </w:r>
      <w:r>
        <w:rPr>
          <w:rFonts w:hint="eastAsia" w:ascii="仿宋" w:hAnsi="仿宋" w:eastAsia="仿宋" w:cs="仿宋"/>
          <w:color w:val="auto"/>
          <w:spacing w:val="0"/>
          <w:sz w:val="24"/>
          <w:szCs w:val="24"/>
          <w:highlight w:val="none"/>
        </w:rPr>
        <w:t>咨询联系人：</w:t>
      </w:r>
      <w:r>
        <w:rPr>
          <w:rFonts w:hint="eastAsia" w:ascii="仿宋" w:hAnsi="仿宋" w:eastAsia="仿宋" w:cs="仿宋"/>
          <w:b/>
          <w:bCs/>
          <w:color w:val="auto"/>
          <w:spacing w:val="0"/>
          <w:sz w:val="24"/>
          <w:szCs w:val="24"/>
          <w:highlight w:val="none"/>
        </w:rPr>
        <w:t>采购办</w:t>
      </w:r>
      <w:r>
        <w:rPr>
          <w:rFonts w:hint="eastAsia" w:ascii="仿宋" w:hAnsi="仿宋" w:eastAsia="仿宋" w:cs="仿宋"/>
          <w:b/>
          <w:bCs/>
          <w:color w:val="auto"/>
          <w:spacing w:val="0"/>
          <w:sz w:val="24"/>
          <w:szCs w:val="24"/>
          <w:highlight w:val="none"/>
          <w:lang w:eastAsia="zh-CN"/>
        </w:rPr>
        <w:t>。</w:t>
      </w:r>
    </w:p>
    <w:p w14:paraId="3449F6D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val="en-US" w:eastAsia="zh-CN"/>
        </w:rPr>
        <w:t>7.3.2</w:t>
      </w:r>
      <w:r>
        <w:rPr>
          <w:rFonts w:hint="eastAsia" w:ascii="仿宋" w:hAnsi="仿宋" w:eastAsia="仿宋" w:cs="仿宋"/>
          <w:color w:val="auto"/>
          <w:spacing w:val="0"/>
          <w:sz w:val="24"/>
          <w:szCs w:val="24"/>
          <w:highlight w:val="none"/>
        </w:rPr>
        <w:t>联系电话：84111577转</w:t>
      </w:r>
      <w:r>
        <w:rPr>
          <w:rFonts w:hint="eastAsia" w:ascii="仿宋" w:hAnsi="仿宋" w:eastAsia="仿宋" w:cs="仿宋"/>
          <w:b/>
          <w:bCs/>
          <w:color w:val="auto"/>
          <w:spacing w:val="0"/>
          <w:sz w:val="24"/>
          <w:szCs w:val="24"/>
          <w:highlight w:val="none"/>
        </w:rPr>
        <w:t>8042</w:t>
      </w:r>
      <w:r>
        <w:rPr>
          <w:rFonts w:hint="eastAsia" w:ascii="仿宋" w:hAnsi="仿宋" w:eastAsia="仿宋" w:cs="仿宋"/>
          <w:b/>
          <w:bCs/>
          <w:color w:val="auto"/>
          <w:spacing w:val="0"/>
          <w:sz w:val="24"/>
          <w:szCs w:val="24"/>
          <w:highlight w:val="none"/>
          <w:lang w:eastAsia="zh-CN"/>
        </w:rPr>
        <w:t>。</w:t>
      </w:r>
    </w:p>
    <w:p w14:paraId="61EC82B3">
      <w:pPr>
        <w:pageBreakBefore w:val="0"/>
        <w:kinsoku/>
        <w:wordWrap/>
        <w:overflowPunct/>
        <w:topLinePunct w:val="0"/>
        <w:bidi w:val="0"/>
        <w:snapToGrid/>
        <w:spacing w:line="0" w:lineRule="atLeast"/>
        <w:ind w:firstLine="480" w:firstLineChars="200"/>
        <w:rPr>
          <w:rFonts w:hint="eastAsia" w:ascii="仿宋" w:hAnsi="仿宋" w:eastAsia="仿宋" w:cs="仿宋"/>
          <w:b w:val="0"/>
          <w:bCs w:val="0"/>
          <w:color w:val="auto"/>
          <w:spacing w:val="0"/>
          <w:sz w:val="24"/>
          <w:szCs w:val="24"/>
          <w:highlight w:val="none"/>
        </w:rPr>
      </w:pPr>
      <w:r>
        <w:rPr>
          <w:rFonts w:hint="eastAsia" w:ascii="仿宋" w:hAnsi="仿宋" w:eastAsia="仿宋" w:cs="仿宋"/>
          <w:color w:val="auto"/>
          <w:spacing w:val="0"/>
          <w:sz w:val="24"/>
          <w:szCs w:val="24"/>
          <w:highlight w:val="none"/>
          <w:lang w:val="en-US" w:eastAsia="zh-CN"/>
        </w:rPr>
        <w:t>7.3.3</w:t>
      </w:r>
      <w:r>
        <w:rPr>
          <w:rFonts w:hint="eastAsia" w:ascii="仿宋" w:hAnsi="仿宋" w:eastAsia="仿宋" w:cs="仿宋"/>
          <w:color w:val="auto"/>
          <w:spacing w:val="0"/>
          <w:sz w:val="24"/>
          <w:szCs w:val="24"/>
          <w:highlight w:val="none"/>
        </w:rPr>
        <w:t>申请文件递交地址：成都市成华区第七人民医院（康复院区）信息科处。</w:t>
      </w:r>
    </w:p>
    <w:p w14:paraId="5A39AB38">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八</w:t>
      </w:r>
      <w:r>
        <w:rPr>
          <w:rFonts w:hint="eastAsia" w:ascii="仿宋" w:hAnsi="仿宋" w:eastAsia="仿宋" w:cs="仿宋"/>
          <w:b/>
          <w:bCs/>
          <w:color w:val="auto"/>
          <w:spacing w:val="0"/>
          <w:sz w:val="24"/>
          <w:szCs w:val="24"/>
          <w:highlight w:val="none"/>
        </w:rPr>
        <w:t>、遴选申请文件提交要求</w:t>
      </w:r>
    </w:p>
    <w:p w14:paraId="2EDDDA83">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8.1</w:t>
      </w:r>
      <w:r>
        <w:rPr>
          <w:rFonts w:hint="eastAsia" w:ascii="仿宋" w:hAnsi="仿宋" w:eastAsia="仿宋" w:cs="仿宋"/>
          <w:color w:val="auto"/>
          <w:spacing w:val="0"/>
          <w:sz w:val="24"/>
          <w:szCs w:val="24"/>
          <w:highlight w:val="none"/>
        </w:rPr>
        <w:t>截止时间：</w:t>
      </w:r>
      <w:r>
        <w:rPr>
          <w:rFonts w:hint="eastAsia" w:ascii="仿宋" w:hAnsi="仿宋" w:eastAsia="仿宋" w:cs="仿宋"/>
          <w:b/>
          <w:bCs/>
          <w:color w:val="auto"/>
          <w:spacing w:val="0"/>
          <w:sz w:val="24"/>
          <w:szCs w:val="24"/>
          <w:highlight w:val="none"/>
          <w:lang w:val="en-US" w:eastAsia="zh-CN"/>
        </w:rPr>
        <w:t>2026年8月26日17:00</w:t>
      </w:r>
      <w:r>
        <w:rPr>
          <w:rFonts w:hint="eastAsia" w:ascii="仿宋" w:hAnsi="仿宋" w:eastAsia="仿宋" w:cs="仿宋"/>
          <w:b/>
          <w:bCs/>
          <w:color w:val="auto"/>
          <w:spacing w:val="0"/>
          <w:sz w:val="24"/>
          <w:szCs w:val="24"/>
          <w:highlight w:val="none"/>
        </w:rPr>
        <w:t>（北京时间）</w:t>
      </w:r>
      <w:r>
        <w:rPr>
          <w:rFonts w:hint="eastAsia" w:ascii="仿宋" w:hAnsi="仿宋" w:eastAsia="仿宋" w:cs="仿宋"/>
          <w:color w:val="auto"/>
          <w:spacing w:val="0"/>
          <w:sz w:val="24"/>
          <w:szCs w:val="24"/>
          <w:highlight w:val="none"/>
        </w:rPr>
        <w:t>仅限现场提交。</w:t>
      </w:r>
    </w:p>
    <w:p w14:paraId="6430086B">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8.2</w:t>
      </w:r>
      <w:r>
        <w:rPr>
          <w:rFonts w:hint="eastAsia" w:ascii="仿宋" w:hAnsi="仿宋" w:eastAsia="仿宋" w:cs="仿宋"/>
          <w:color w:val="auto"/>
          <w:spacing w:val="0"/>
          <w:sz w:val="24"/>
          <w:szCs w:val="24"/>
          <w:highlight w:val="none"/>
        </w:rPr>
        <w:t>提交地点：成都市成华区第七人民医院（康复院区）信息科处。</w:t>
      </w:r>
    </w:p>
    <w:p w14:paraId="0BA78E1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val="en-US" w:eastAsia="zh-CN"/>
        </w:rPr>
        <w:t>8.3</w:t>
      </w:r>
      <w:r>
        <w:rPr>
          <w:rFonts w:hint="eastAsia" w:ascii="仿宋" w:hAnsi="仿宋" w:eastAsia="仿宋" w:cs="仿宋"/>
          <w:color w:val="auto"/>
          <w:spacing w:val="0"/>
          <w:sz w:val="24"/>
          <w:szCs w:val="24"/>
          <w:highlight w:val="none"/>
        </w:rPr>
        <w:t>注意事项：文件须密封并加盖公章，封面注明“</w:t>
      </w:r>
      <w:r>
        <w:rPr>
          <w:rFonts w:hint="eastAsia" w:ascii="仿宋" w:hAnsi="仿宋" w:eastAsia="仿宋" w:cs="仿宋"/>
          <w:b/>
          <w:bCs/>
          <w:color w:val="auto"/>
          <w:spacing w:val="0"/>
          <w:sz w:val="24"/>
          <w:szCs w:val="24"/>
          <w:highlight w:val="none"/>
        </w:rPr>
        <w:t>项目名称+投标人名称+联系方式</w:t>
      </w:r>
      <w:r>
        <w:rPr>
          <w:rFonts w:hint="eastAsia" w:ascii="仿宋" w:hAnsi="仿宋" w:eastAsia="仿宋" w:cs="仿宋"/>
          <w:color w:val="auto"/>
          <w:spacing w:val="0"/>
          <w:sz w:val="24"/>
          <w:szCs w:val="24"/>
          <w:highlight w:val="none"/>
        </w:rPr>
        <w:t>”，逾期或未密封文件不予受理。</w:t>
      </w:r>
    </w:p>
    <w:p w14:paraId="2B4720B6">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九</w:t>
      </w:r>
      <w:r>
        <w:rPr>
          <w:rFonts w:hint="eastAsia" w:ascii="仿宋" w:hAnsi="仿宋" w:eastAsia="仿宋" w:cs="仿宋"/>
          <w:b/>
          <w:bCs/>
          <w:color w:val="auto"/>
          <w:spacing w:val="0"/>
          <w:sz w:val="24"/>
          <w:szCs w:val="24"/>
          <w:highlight w:val="none"/>
        </w:rPr>
        <w:t>、遴选评审安排</w:t>
      </w:r>
    </w:p>
    <w:p w14:paraId="4290B73F">
      <w:pPr>
        <w:pageBreakBefore w:val="0"/>
        <w:kinsoku/>
        <w:wordWrap/>
        <w:overflowPunct/>
        <w:topLinePunct w:val="0"/>
        <w:bidi w:val="0"/>
        <w:snapToGrid/>
        <w:spacing w:line="0" w:lineRule="atLeast"/>
        <w:ind w:firstLine="48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lang w:val="en-US" w:eastAsia="zh-CN"/>
        </w:rPr>
        <w:t>9.1</w:t>
      </w:r>
      <w:r>
        <w:rPr>
          <w:rFonts w:hint="eastAsia" w:ascii="仿宋" w:hAnsi="仿宋" w:eastAsia="仿宋" w:cs="仿宋"/>
          <w:color w:val="auto"/>
          <w:spacing w:val="0"/>
          <w:sz w:val="24"/>
          <w:szCs w:val="24"/>
          <w:highlight w:val="none"/>
        </w:rPr>
        <w:t>评审时间：</w:t>
      </w:r>
      <w:r>
        <w:rPr>
          <w:rFonts w:hint="eastAsia" w:ascii="仿宋" w:hAnsi="仿宋" w:eastAsia="仿宋" w:cs="仿宋"/>
          <w:color w:val="auto"/>
          <w:spacing w:val="0"/>
          <w:sz w:val="24"/>
          <w:szCs w:val="24"/>
          <w:highlight w:val="none"/>
          <w:lang w:eastAsia="zh-CN"/>
        </w:rPr>
        <w:t>原则上在申请书递交截止时间后</w:t>
      </w:r>
      <w:r>
        <w:rPr>
          <w:rFonts w:hint="eastAsia" w:ascii="仿宋" w:hAnsi="仿宋" w:eastAsia="仿宋" w:cs="仿宋"/>
          <w:color w:val="auto"/>
          <w:spacing w:val="0"/>
          <w:sz w:val="24"/>
          <w:szCs w:val="24"/>
          <w:highlight w:val="none"/>
          <w:lang w:val="en-US" w:eastAsia="zh-CN"/>
        </w:rPr>
        <w:t>5</w:t>
      </w:r>
      <w:r>
        <w:rPr>
          <w:rFonts w:hint="eastAsia" w:ascii="仿宋" w:hAnsi="仿宋" w:eastAsia="仿宋" w:cs="仿宋"/>
          <w:color w:val="auto"/>
          <w:spacing w:val="0"/>
          <w:sz w:val="24"/>
          <w:szCs w:val="24"/>
          <w:highlight w:val="none"/>
          <w:lang w:eastAsia="zh-CN"/>
        </w:rPr>
        <w:t>个工作日内完成（具体评审日期及结果公示以医院官网公告为准）。</w:t>
      </w:r>
    </w:p>
    <w:p w14:paraId="42CDF1C8">
      <w:pPr>
        <w:pageBreakBefore w:val="0"/>
        <w:kinsoku/>
        <w:wordWrap/>
        <w:overflowPunct/>
        <w:topLinePunct w:val="0"/>
        <w:bidi w:val="0"/>
        <w:snapToGrid/>
        <w:spacing w:line="0" w:lineRule="atLeast"/>
        <w:ind w:firstLine="480"/>
        <w:rPr>
          <w:rFonts w:hint="eastAsia"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9.2</w:t>
      </w:r>
      <w:r>
        <w:rPr>
          <w:rFonts w:hint="eastAsia" w:ascii="仿宋" w:hAnsi="仿宋" w:eastAsia="仿宋" w:cs="仿宋"/>
          <w:color w:val="auto"/>
          <w:spacing w:val="0"/>
          <w:sz w:val="24"/>
          <w:szCs w:val="24"/>
          <w:highlight w:val="none"/>
        </w:rPr>
        <w:t>评审地点：</w:t>
      </w:r>
      <w:r>
        <w:rPr>
          <w:rFonts w:hint="eastAsia" w:ascii="仿宋" w:hAnsi="仿宋" w:eastAsia="仿宋" w:cs="仿宋"/>
          <w:color w:val="auto"/>
          <w:spacing w:val="0"/>
          <w:sz w:val="24"/>
          <w:szCs w:val="24"/>
          <w:highlight w:val="none"/>
          <w:lang w:val="en-US" w:eastAsia="zh-CN"/>
        </w:rPr>
        <w:t>成都市成华区第七人民医院。</w:t>
      </w:r>
    </w:p>
    <w:p w14:paraId="07B85DA6">
      <w:pPr>
        <w:pageBreakBefore w:val="0"/>
        <w:kinsoku/>
        <w:wordWrap/>
        <w:overflowPunct/>
        <w:topLinePunct w:val="0"/>
        <w:bidi w:val="0"/>
        <w:snapToGrid/>
        <w:spacing w:line="0" w:lineRule="atLeast"/>
        <w:ind w:firstLine="4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9.3</w:t>
      </w:r>
      <w:r>
        <w:rPr>
          <w:rFonts w:hint="eastAsia" w:ascii="仿宋" w:hAnsi="仿宋" w:eastAsia="仿宋" w:cs="仿宋"/>
          <w:color w:val="auto"/>
          <w:spacing w:val="0"/>
          <w:sz w:val="24"/>
          <w:szCs w:val="24"/>
          <w:highlight w:val="none"/>
        </w:rPr>
        <w:t>评审流程：由医院评审小组现场开封申请文件并综合评分。</w:t>
      </w:r>
    </w:p>
    <w:p w14:paraId="4EEDEB62">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十</w:t>
      </w:r>
      <w:r>
        <w:rPr>
          <w:rFonts w:hint="eastAsia" w:ascii="仿宋" w:hAnsi="仿宋" w:eastAsia="仿宋" w:cs="仿宋"/>
          <w:b/>
          <w:bCs/>
          <w:color w:val="auto"/>
          <w:spacing w:val="0"/>
          <w:sz w:val="24"/>
          <w:szCs w:val="24"/>
          <w:highlight w:val="none"/>
        </w:rPr>
        <w:t>、其他说明</w:t>
      </w:r>
    </w:p>
    <w:p w14:paraId="3D1EFA22">
      <w:pPr>
        <w:pageBreakBefore w:val="0"/>
        <w:kinsoku/>
        <w:wordWrap/>
        <w:overflowPunct/>
        <w:topLinePunct w:val="0"/>
        <w:bidi w:val="0"/>
        <w:snapToGrid/>
        <w:spacing w:line="0" w:lineRule="atLeast"/>
        <w:ind w:firstLine="4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10.1</w:t>
      </w:r>
      <w:r>
        <w:rPr>
          <w:rFonts w:hint="eastAsia" w:ascii="仿宋" w:hAnsi="仿宋" w:eastAsia="仿宋" w:cs="仿宋"/>
          <w:color w:val="auto"/>
          <w:spacing w:val="0"/>
          <w:sz w:val="24"/>
          <w:szCs w:val="24"/>
          <w:highlight w:val="none"/>
        </w:rPr>
        <w:t>本项目</w:t>
      </w:r>
      <w:r>
        <w:rPr>
          <w:rFonts w:hint="eastAsia" w:ascii="仿宋" w:hAnsi="仿宋" w:eastAsia="仿宋" w:cs="仿宋"/>
          <w:b/>
          <w:bCs/>
          <w:i/>
          <w:iCs/>
          <w:color w:val="auto"/>
          <w:spacing w:val="0"/>
          <w:sz w:val="24"/>
          <w:szCs w:val="24"/>
          <w:highlight w:val="none"/>
        </w:rPr>
        <w:t>不收取</w:t>
      </w:r>
      <w:r>
        <w:rPr>
          <w:rFonts w:hint="eastAsia" w:ascii="仿宋" w:hAnsi="仿宋" w:eastAsia="仿宋" w:cs="仿宋"/>
          <w:color w:val="auto"/>
          <w:spacing w:val="0"/>
          <w:sz w:val="24"/>
          <w:szCs w:val="24"/>
          <w:highlight w:val="none"/>
        </w:rPr>
        <w:t>遴选保证金；</w:t>
      </w:r>
    </w:p>
    <w:p w14:paraId="36243731">
      <w:pPr>
        <w:pageBreakBefore w:val="0"/>
        <w:kinsoku/>
        <w:wordWrap/>
        <w:overflowPunct/>
        <w:topLinePunct w:val="0"/>
        <w:bidi w:val="0"/>
        <w:snapToGrid/>
        <w:spacing w:line="0" w:lineRule="atLeast"/>
        <w:ind w:firstLine="4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10.2</w:t>
      </w:r>
      <w:r>
        <w:rPr>
          <w:rFonts w:hint="eastAsia" w:ascii="仿宋" w:hAnsi="仿宋" w:eastAsia="仿宋" w:cs="仿宋"/>
          <w:color w:val="auto"/>
          <w:spacing w:val="0"/>
          <w:sz w:val="24"/>
          <w:szCs w:val="24"/>
          <w:highlight w:val="none"/>
        </w:rPr>
        <w:t>医院保留对遴选流程的最终解释权。</w:t>
      </w:r>
    </w:p>
    <w:p w14:paraId="0D23DFB2">
      <w:pPr>
        <w:pageBreakBefore w:val="0"/>
        <w:widowControl/>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br w:type="page"/>
      </w:r>
    </w:p>
    <w:p w14:paraId="58227EFC">
      <w:pPr>
        <w:pStyle w:val="3"/>
        <w:pageBreakBefore w:val="0"/>
        <w:kinsoku/>
        <w:wordWrap/>
        <w:overflowPunct/>
        <w:topLinePunct w:val="0"/>
        <w:bidi w:val="0"/>
        <w:snapToGrid/>
        <w:spacing w:before="0" w:after="0" w:line="0" w:lineRule="atLeast"/>
        <w:rPr>
          <w:rFonts w:hint="eastAsia" w:ascii="仿宋" w:hAnsi="仿宋" w:eastAsia="仿宋" w:cs="仿宋"/>
          <w:bCs w:val="0"/>
          <w:color w:val="auto"/>
          <w:spacing w:val="0"/>
          <w:sz w:val="30"/>
          <w:szCs w:val="30"/>
          <w:highlight w:val="none"/>
        </w:rPr>
      </w:pPr>
      <w:r>
        <w:rPr>
          <w:rFonts w:hint="eastAsia" w:ascii="仿宋" w:hAnsi="仿宋" w:eastAsia="仿宋" w:cs="仿宋"/>
          <w:bCs w:val="0"/>
          <w:color w:val="auto"/>
          <w:spacing w:val="0"/>
          <w:sz w:val="30"/>
          <w:szCs w:val="30"/>
          <w:highlight w:val="none"/>
        </w:rPr>
        <w:t>遴选申请人须知</w:t>
      </w:r>
    </w:p>
    <w:p w14:paraId="2BF720EF">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1、遴选文件</w:t>
      </w:r>
    </w:p>
    <w:p w14:paraId="154E75C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遴选申请人应仔细阅读本遴选文件，按遴选文件的规定和本遴选文件第二章要求的格式编写遴选申请书。</w:t>
      </w:r>
    </w:p>
    <w:p w14:paraId="40E223F2">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2、遴选报价（实质性要求）</w:t>
      </w:r>
    </w:p>
    <w:p w14:paraId="2168EE3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2.1所有报价一律以人民币报价。遴选人不接受任何非人民币币种的报价。</w:t>
      </w:r>
    </w:p>
    <w:p w14:paraId="23B02C6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2.2遴选申请人的报价是其响应本项目要求的全部工作内容的价格体现，包括遴选申请人完成本项目所需的一切费用。其中项目执行过程中产生的差旅费均包含在本次报价中。</w:t>
      </w:r>
    </w:p>
    <w:p w14:paraId="3F438478">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3、遴选申请书</w:t>
      </w:r>
    </w:p>
    <w:p w14:paraId="320D7A2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3.1遴选申请书的编制</w:t>
      </w:r>
    </w:p>
    <w:p w14:paraId="0B5B5830">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3.1.1遴选申请书的格式</w:t>
      </w:r>
    </w:p>
    <w:p w14:paraId="7E2ADAE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书应按第二章“遴选申请书格式”进行编写，至少包括“遴选申请书格式”的各项内容。本遴选文件要求提供的证明文件，遴选申请人必须提供；本遴选文件没有要求提供的证明文件，遴选申请人认为需要提供的，也可以提供。</w:t>
      </w:r>
    </w:p>
    <w:p w14:paraId="1851C27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3.1.2遴选申请书应全部用不褪色的墨水（粉）书写或打印，不得有任何涂改。</w:t>
      </w:r>
    </w:p>
    <w:p w14:paraId="28A9518B">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rPr>
        <w:t>3.1.3遴选申请书必须用中文书写，</w:t>
      </w:r>
      <w:r>
        <w:rPr>
          <w:rFonts w:hint="eastAsia" w:ascii="仿宋" w:hAnsi="仿宋" w:eastAsia="仿宋" w:cs="仿宋"/>
          <w:b/>
          <w:bCs/>
          <w:color w:val="auto"/>
          <w:spacing w:val="0"/>
          <w:sz w:val="24"/>
          <w:szCs w:val="24"/>
          <w:highlight w:val="none"/>
        </w:rPr>
        <w:t>包括正本一份、副本一份。</w:t>
      </w:r>
      <w:r>
        <w:rPr>
          <w:rFonts w:hint="eastAsia" w:ascii="仿宋" w:hAnsi="仿宋" w:eastAsia="仿宋" w:cs="仿宋"/>
          <w:b w:val="0"/>
          <w:bCs w:val="0"/>
          <w:color w:val="auto"/>
          <w:spacing w:val="0"/>
          <w:sz w:val="24"/>
          <w:szCs w:val="24"/>
          <w:highlight w:val="none"/>
        </w:rPr>
        <w:t>正本和副本的封面上应清楚的标记“正本”和“副本”的字样。正副本内容应完全一致，如不一致时，以正本为准。</w:t>
      </w:r>
    </w:p>
    <w:p w14:paraId="09E59CCB">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3.2遴选申请书的签署</w:t>
      </w:r>
    </w:p>
    <w:p w14:paraId="5538AFD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3.2.1遴选申请人应在遴选申请书封面加盖单位公章。</w:t>
      </w:r>
    </w:p>
    <w:p w14:paraId="7800824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3.2.2遴选申请书的密封与标识</w:t>
      </w:r>
    </w:p>
    <w:p w14:paraId="044D479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遴选申请书的</w:t>
      </w:r>
      <w:r>
        <w:rPr>
          <w:rFonts w:hint="eastAsia" w:ascii="仿宋" w:hAnsi="仿宋" w:eastAsia="仿宋" w:cs="仿宋"/>
          <w:b/>
          <w:bCs/>
          <w:color w:val="auto"/>
          <w:spacing w:val="0"/>
          <w:sz w:val="24"/>
          <w:szCs w:val="24"/>
          <w:highlight w:val="none"/>
        </w:rPr>
        <w:t>正本与副本应一起包装</w:t>
      </w:r>
      <w:r>
        <w:rPr>
          <w:rFonts w:hint="eastAsia" w:ascii="仿宋" w:hAnsi="仿宋" w:eastAsia="仿宋" w:cs="仿宋"/>
          <w:color w:val="auto"/>
          <w:spacing w:val="0"/>
          <w:sz w:val="24"/>
          <w:szCs w:val="24"/>
          <w:highlight w:val="none"/>
        </w:rPr>
        <w:t>，遴选申请书的外包装应保证其密封性。封套上应清楚地载明遴选申请人的名称、项目名称。</w:t>
      </w:r>
    </w:p>
    <w:p w14:paraId="4557AA92">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3.2.3未按以上要求密封和加写标记的遴选申请书将不予受理。</w:t>
      </w:r>
    </w:p>
    <w:p w14:paraId="7F00487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3.3遴选申请书的递交</w:t>
      </w:r>
    </w:p>
    <w:p w14:paraId="37F510A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遴选申请书应该在遴选邀请中规定的遴选申请书提交截止时间前提交。迟到的遴选申请书遴选人将拒绝接收。</w:t>
      </w:r>
    </w:p>
    <w:p w14:paraId="32644502">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4、遴选响应有效期（实质性要求）</w:t>
      </w:r>
    </w:p>
    <w:p w14:paraId="1BD92463">
      <w:pPr>
        <w:pageBreakBefore w:val="0"/>
        <w:kinsoku/>
        <w:wordWrap/>
        <w:overflowPunct/>
        <w:topLinePunct w:val="0"/>
        <w:bidi w:val="0"/>
        <w:snapToGrid/>
        <w:spacing w:line="0" w:lineRule="atLeast"/>
        <w:ind w:firstLine="480" w:firstLineChars="200"/>
        <w:rPr>
          <w:rFonts w:hint="eastAsia" w:ascii="仿宋" w:hAnsi="仿宋" w:eastAsia="仿宋" w:cs="仿宋"/>
          <w:b w:val="0"/>
          <w:bCs w:val="0"/>
          <w:color w:val="auto"/>
          <w:spacing w:val="0"/>
          <w:sz w:val="24"/>
          <w:szCs w:val="24"/>
          <w:highlight w:val="none"/>
        </w:rPr>
      </w:pPr>
      <w:r>
        <w:rPr>
          <w:rFonts w:hint="eastAsia" w:ascii="仿宋" w:hAnsi="仿宋" w:eastAsia="仿宋" w:cs="仿宋"/>
          <w:color w:val="auto"/>
          <w:spacing w:val="0"/>
          <w:sz w:val="24"/>
          <w:szCs w:val="24"/>
          <w:highlight w:val="none"/>
        </w:rPr>
        <w:t>4.1遴选响应有效期为</w:t>
      </w:r>
      <w:r>
        <w:rPr>
          <w:rFonts w:hint="eastAsia" w:ascii="仿宋" w:hAnsi="仿宋" w:eastAsia="仿宋" w:cs="仿宋"/>
          <w:b/>
          <w:bCs/>
          <w:color w:val="auto"/>
          <w:spacing w:val="0"/>
          <w:sz w:val="24"/>
          <w:szCs w:val="24"/>
          <w:highlight w:val="none"/>
          <w:lang w:val="en-US" w:eastAsia="zh-CN"/>
        </w:rPr>
        <w:t>90</w:t>
      </w:r>
      <w:r>
        <w:rPr>
          <w:rFonts w:hint="eastAsia" w:ascii="仿宋" w:hAnsi="仿宋" w:eastAsia="仿宋" w:cs="仿宋"/>
          <w:b/>
          <w:bCs/>
          <w:color w:val="auto"/>
          <w:spacing w:val="0"/>
          <w:sz w:val="24"/>
          <w:szCs w:val="24"/>
          <w:highlight w:val="none"/>
        </w:rPr>
        <w:t>天。</w:t>
      </w:r>
    </w:p>
    <w:p w14:paraId="1C4BD97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4.2特殊情况下，遴选人可于遴选响应有效期满之前要求申请人同意延长有效期，要求与答复均应为书面形式。遴选申请人可以拒绝上述要求。拒绝延长遴选响应有效期的申请人不得再参与该项目后续遴选活动。同意延长遴选响应有效期的申请人不能修改其遴选申请文件。</w:t>
      </w:r>
    </w:p>
    <w:p w14:paraId="528C20F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4.3在遴选响应有效期内，遴选申请人将依法接受其遴选申请文件的约束。</w:t>
      </w:r>
    </w:p>
    <w:p w14:paraId="75312141">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5、评审</w:t>
      </w:r>
    </w:p>
    <w:p w14:paraId="64FB2DF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5.1评审委员会</w:t>
      </w:r>
    </w:p>
    <w:p w14:paraId="0FA8AF6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评审工作由遴选人组建的评审委员会负责，评审委员会成员人数为3人（含3人）以上单数。</w:t>
      </w:r>
    </w:p>
    <w:p w14:paraId="56EA1BB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5.2遴选活动在遴选文件约定的地方进行。</w:t>
      </w:r>
    </w:p>
    <w:p w14:paraId="34293B3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5.3遴选程序</w:t>
      </w:r>
    </w:p>
    <w:p w14:paraId="05F4E1B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遴选人在监督人员监督的情况下</w:t>
      </w:r>
      <w:r>
        <w:rPr>
          <w:rFonts w:hint="eastAsia" w:ascii="仿宋" w:hAnsi="仿宋" w:eastAsia="仿宋" w:cs="仿宋"/>
          <w:color w:val="auto"/>
          <w:spacing w:val="0"/>
          <w:sz w:val="24"/>
          <w:szCs w:val="24"/>
          <w:highlight w:val="none"/>
          <w:lang w:eastAsia="zh-CN"/>
        </w:rPr>
        <w:t>，</w:t>
      </w:r>
      <w:r>
        <w:rPr>
          <w:rFonts w:hint="eastAsia" w:ascii="仿宋" w:hAnsi="仿宋" w:eastAsia="仿宋" w:cs="仿宋"/>
          <w:color w:val="auto"/>
          <w:spacing w:val="0"/>
          <w:sz w:val="24"/>
          <w:szCs w:val="24"/>
          <w:highlight w:val="none"/>
        </w:rPr>
        <w:t>在遴选文件规定地点、时间当场开封所有遴选申请书，按照以下程序进行：</w:t>
      </w:r>
    </w:p>
    <w:p w14:paraId="54F2987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5.3.1对遴选申请文件进行审查，剔除无效申请文件；</w:t>
      </w:r>
    </w:p>
    <w:p w14:paraId="07E4259D">
      <w:pPr>
        <w:pageBreakBefore w:val="0"/>
        <w:kinsoku/>
        <w:wordWrap/>
        <w:overflowPunct/>
        <w:topLinePunct w:val="0"/>
        <w:bidi w:val="0"/>
        <w:snapToGrid/>
        <w:spacing w:line="0" w:lineRule="atLeast"/>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有下列情况之一的视为无效遴选申请文件，除此之外，评审委员会不得再以不符合遴选文件中规定的其他实质性要求来判定无效申请文件：</w:t>
      </w:r>
    </w:p>
    <w:p w14:paraId="05164C5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a未按遴选文件规定盖章或签字的；</w:t>
      </w:r>
    </w:p>
    <w:p w14:paraId="4E5B6C0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b遴选申请文件中的报价高于本项目预算或最高限价或未按遴选文件规定进行报价的；</w:t>
      </w:r>
    </w:p>
    <w:p w14:paraId="1BE2FDB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c遴选申请文件不满足本项目实质性要求的。</w:t>
      </w:r>
    </w:p>
    <w:p w14:paraId="71A119F0">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5.3.2重新组织</w:t>
      </w:r>
    </w:p>
    <w:p w14:paraId="1BE481A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本次遴选活动中，出现下列情形之一的，予以重新组织：</w:t>
      </w:r>
    </w:p>
    <w:p w14:paraId="68CCDACC">
      <w:pPr>
        <w:keepNext w:val="0"/>
        <w:keepLines w:val="0"/>
        <w:pageBreakBefore w:val="0"/>
        <w:widowControl w:val="0"/>
        <w:numPr>
          <w:ilvl w:val="0"/>
          <w:numId w:val="0"/>
        </w:numPr>
        <w:kinsoku/>
        <w:wordWrap w:val="0"/>
        <w:overflowPunct/>
        <w:topLinePunct w:val="0"/>
        <w:autoSpaceDE/>
        <w:autoSpaceDN/>
        <w:bidi w:val="0"/>
        <w:adjustRightInd/>
        <w:snapToGrid/>
        <w:spacing w:line="0" w:lineRule="atLeast"/>
        <w:ind w:firstLine="480" w:firstLineChars="200"/>
        <w:textAlignment w:val="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kern w:val="2"/>
          <w:sz w:val="24"/>
          <w:szCs w:val="24"/>
          <w:highlight w:val="none"/>
          <w:lang w:val="en-US" w:eastAsia="zh-CN" w:bidi="ar-SA"/>
        </w:rPr>
        <w:t>（1）</w:t>
      </w:r>
      <w:r>
        <w:rPr>
          <w:rFonts w:hint="eastAsia" w:ascii="仿宋" w:hAnsi="仿宋" w:eastAsia="仿宋" w:cs="仿宋"/>
          <w:color w:val="auto"/>
          <w:spacing w:val="0"/>
          <w:sz w:val="24"/>
          <w:szCs w:val="24"/>
          <w:highlight w:val="none"/>
        </w:rPr>
        <w:t>符合专业条件的遴选申请人或者对遴选申请书作实质响应的遴选申请人不足三家的；</w:t>
      </w:r>
    </w:p>
    <w:p w14:paraId="0920DFE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kern w:val="2"/>
          <w:sz w:val="24"/>
          <w:szCs w:val="24"/>
          <w:highlight w:val="none"/>
          <w:lang w:val="en-US" w:eastAsia="zh-CN" w:bidi="ar-SA"/>
        </w:rPr>
      </w:pPr>
      <w:r>
        <w:rPr>
          <w:rFonts w:hint="eastAsia" w:ascii="仿宋" w:hAnsi="仿宋" w:eastAsia="仿宋" w:cs="仿宋"/>
          <w:color w:val="auto"/>
          <w:spacing w:val="0"/>
          <w:kern w:val="2"/>
          <w:sz w:val="24"/>
          <w:szCs w:val="24"/>
          <w:highlight w:val="none"/>
          <w:lang w:val="en-US" w:eastAsia="zh-CN" w:bidi="ar-SA"/>
        </w:rPr>
        <w:t>（2）遴选申请人的报价均超过了采购预算，遴选人不能支付的；</w:t>
      </w:r>
    </w:p>
    <w:p w14:paraId="1EA074B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lang w:eastAsia="zh-CN"/>
        </w:rPr>
      </w:pPr>
      <w:r>
        <w:rPr>
          <w:rFonts w:hint="eastAsia" w:ascii="仿宋" w:hAnsi="仿宋" w:eastAsia="仿宋" w:cs="仿宋"/>
          <w:color w:val="auto"/>
          <w:spacing w:val="0"/>
          <w:sz w:val="24"/>
          <w:szCs w:val="24"/>
          <w:highlight w:val="none"/>
        </w:rPr>
        <w:t>（</w:t>
      </w:r>
      <w:r>
        <w:rPr>
          <w:rFonts w:hint="eastAsia" w:ascii="仿宋" w:hAnsi="仿宋" w:eastAsia="仿宋" w:cs="仿宋"/>
          <w:color w:val="auto"/>
          <w:spacing w:val="0"/>
          <w:sz w:val="24"/>
          <w:szCs w:val="24"/>
          <w:highlight w:val="none"/>
          <w:lang w:val="en-US" w:eastAsia="zh-CN"/>
        </w:rPr>
        <w:t>3</w:t>
      </w:r>
      <w:r>
        <w:rPr>
          <w:rFonts w:hint="eastAsia" w:ascii="仿宋" w:hAnsi="仿宋" w:eastAsia="仿宋" w:cs="仿宋"/>
          <w:color w:val="auto"/>
          <w:spacing w:val="0"/>
          <w:sz w:val="24"/>
          <w:szCs w:val="24"/>
          <w:highlight w:val="none"/>
        </w:rPr>
        <w:t>）出现影响遴选公正的违法、违规行为的</w:t>
      </w:r>
      <w:r>
        <w:rPr>
          <w:rFonts w:hint="eastAsia" w:ascii="仿宋" w:hAnsi="仿宋" w:eastAsia="仿宋" w:cs="仿宋"/>
          <w:color w:val="auto"/>
          <w:spacing w:val="0"/>
          <w:sz w:val="24"/>
          <w:szCs w:val="24"/>
          <w:highlight w:val="none"/>
          <w:lang w:eastAsia="zh-CN"/>
        </w:rPr>
        <w:t>。</w:t>
      </w:r>
    </w:p>
    <w:p w14:paraId="24D5E3C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5.4评审委员会有权对遴选申请书提出澄清，遴选申请人应予以配合，若不予以配合的，遴选申请书无效。</w:t>
      </w:r>
    </w:p>
    <w:p w14:paraId="5EF48C96">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lang w:val="en-US" w:eastAsia="zh-CN"/>
        </w:rPr>
        <w:t>6</w:t>
      </w:r>
      <w:r>
        <w:rPr>
          <w:rFonts w:hint="eastAsia" w:ascii="仿宋" w:hAnsi="仿宋" w:eastAsia="仿宋" w:cs="仿宋"/>
          <w:bCs w:val="0"/>
          <w:color w:val="auto"/>
          <w:spacing w:val="0"/>
          <w:sz w:val="24"/>
          <w:szCs w:val="24"/>
          <w:highlight w:val="none"/>
        </w:rPr>
        <w:t>、中选结果公示</w:t>
      </w:r>
      <w:r>
        <w:rPr>
          <w:rFonts w:hint="eastAsia" w:ascii="仿宋" w:hAnsi="仿宋" w:eastAsia="仿宋" w:cs="仿宋"/>
          <w:bCs w:val="0"/>
          <w:color w:val="auto"/>
          <w:spacing w:val="0"/>
          <w:sz w:val="24"/>
          <w:szCs w:val="24"/>
          <w:highlight w:val="none"/>
          <w:lang w:val="en-US" w:eastAsia="zh-CN"/>
        </w:rPr>
        <w:t>与</w:t>
      </w:r>
      <w:r>
        <w:rPr>
          <w:rFonts w:hint="eastAsia" w:ascii="仿宋" w:hAnsi="仿宋" w:eastAsia="仿宋" w:cs="仿宋"/>
          <w:bCs w:val="0"/>
          <w:color w:val="auto"/>
          <w:spacing w:val="0"/>
          <w:sz w:val="24"/>
          <w:szCs w:val="24"/>
          <w:highlight w:val="none"/>
        </w:rPr>
        <w:t>合同签订（实质性要求）</w:t>
      </w:r>
    </w:p>
    <w:p w14:paraId="683F9A90">
      <w:pPr>
        <w:pageBreakBefore w:val="0"/>
        <w:kinsoku/>
        <w:wordWrap/>
        <w:overflowPunct/>
        <w:topLinePunct w:val="0"/>
        <w:bidi w:val="0"/>
        <w:snapToGrid/>
        <w:spacing w:line="0" w:lineRule="atLeast"/>
        <w:ind w:firstLine="480" w:firstLineChars="200"/>
        <w:rPr>
          <w:rFonts w:hint="default"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6.1中选结果原则上将于开标后</w:t>
      </w:r>
      <w:r>
        <w:rPr>
          <w:rFonts w:hint="eastAsia" w:ascii="仿宋" w:hAnsi="仿宋" w:eastAsia="仿宋" w:cs="仿宋"/>
          <w:color w:val="auto"/>
          <w:spacing w:val="0"/>
          <w:sz w:val="24"/>
          <w:szCs w:val="24"/>
          <w:highlight w:val="none"/>
          <w:u w:val="single"/>
          <w:lang w:val="en-US" w:eastAsia="zh-CN"/>
        </w:rPr>
        <w:t>3个工作日内</w:t>
      </w:r>
      <w:r>
        <w:rPr>
          <w:rFonts w:hint="eastAsia" w:ascii="仿宋" w:hAnsi="仿宋" w:eastAsia="仿宋" w:cs="仿宋"/>
          <w:color w:val="auto"/>
          <w:spacing w:val="0"/>
          <w:sz w:val="24"/>
          <w:szCs w:val="24"/>
          <w:highlight w:val="none"/>
          <w:lang w:val="en-US" w:eastAsia="zh-CN"/>
        </w:rPr>
        <w:t>在我院官方网站(http://www.chqyy.cn/)上公布，请各遴选申请人及时登录查看结果。</w:t>
      </w:r>
    </w:p>
    <w:p w14:paraId="3B166FF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w:t>
      </w:r>
      <w:r>
        <w:rPr>
          <w:rFonts w:hint="eastAsia" w:ascii="仿宋" w:hAnsi="仿宋" w:eastAsia="仿宋" w:cs="仿宋"/>
          <w:color w:val="auto"/>
          <w:spacing w:val="0"/>
          <w:sz w:val="24"/>
          <w:szCs w:val="24"/>
          <w:highlight w:val="none"/>
        </w:rPr>
        <w:t>.</w:t>
      </w:r>
      <w:r>
        <w:rPr>
          <w:rFonts w:hint="eastAsia" w:ascii="仿宋" w:hAnsi="仿宋" w:eastAsia="仿宋" w:cs="仿宋"/>
          <w:color w:val="auto"/>
          <w:spacing w:val="0"/>
          <w:sz w:val="24"/>
          <w:szCs w:val="24"/>
          <w:highlight w:val="none"/>
          <w:lang w:val="en-US" w:eastAsia="zh-CN"/>
        </w:rPr>
        <w:t>2</w:t>
      </w:r>
      <w:r>
        <w:rPr>
          <w:rFonts w:hint="eastAsia" w:ascii="仿宋" w:hAnsi="仿宋" w:eastAsia="仿宋" w:cs="仿宋"/>
          <w:color w:val="auto"/>
          <w:spacing w:val="0"/>
          <w:sz w:val="24"/>
          <w:szCs w:val="24"/>
          <w:highlight w:val="none"/>
        </w:rPr>
        <w:t>公示期结束之日起</w:t>
      </w:r>
      <w:r>
        <w:rPr>
          <w:rFonts w:hint="eastAsia" w:ascii="仿宋" w:hAnsi="仿宋" w:eastAsia="仿宋" w:cs="仿宋"/>
          <w:color w:val="auto"/>
          <w:spacing w:val="0"/>
          <w:sz w:val="24"/>
          <w:szCs w:val="24"/>
          <w:highlight w:val="none"/>
          <w:u w:val="single"/>
          <w:lang w:val="en-US" w:eastAsia="zh-CN"/>
        </w:rPr>
        <w:t>30</w:t>
      </w:r>
      <w:r>
        <w:rPr>
          <w:rFonts w:hint="eastAsia" w:ascii="仿宋" w:hAnsi="仿宋" w:eastAsia="仿宋" w:cs="仿宋"/>
          <w:color w:val="auto"/>
          <w:spacing w:val="0"/>
          <w:sz w:val="24"/>
          <w:szCs w:val="24"/>
          <w:highlight w:val="none"/>
          <w:u w:val="single"/>
        </w:rPr>
        <w:t>个工作日内</w:t>
      </w:r>
      <w:r>
        <w:rPr>
          <w:rFonts w:hint="eastAsia" w:ascii="仿宋" w:hAnsi="仿宋" w:eastAsia="仿宋" w:cs="仿宋"/>
          <w:color w:val="auto"/>
          <w:spacing w:val="0"/>
          <w:sz w:val="24"/>
          <w:szCs w:val="24"/>
          <w:highlight w:val="none"/>
        </w:rPr>
        <w:t>，遴选人与中选人订立书面合同。</w:t>
      </w:r>
    </w:p>
    <w:p w14:paraId="61264520">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6</w:t>
      </w:r>
      <w:r>
        <w:rPr>
          <w:rFonts w:hint="eastAsia" w:ascii="仿宋" w:hAnsi="仿宋" w:eastAsia="仿宋" w:cs="仿宋"/>
          <w:color w:val="auto"/>
          <w:spacing w:val="0"/>
          <w:sz w:val="24"/>
          <w:szCs w:val="24"/>
          <w:highlight w:val="none"/>
        </w:rPr>
        <w:t>.</w:t>
      </w:r>
      <w:r>
        <w:rPr>
          <w:rFonts w:hint="eastAsia" w:ascii="仿宋" w:hAnsi="仿宋" w:eastAsia="仿宋" w:cs="仿宋"/>
          <w:color w:val="auto"/>
          <w:spacing w:val="0"/>
          <w:sz w:val="24"/>
          <w:szCs w:val="24"/>
          <w:highlight w:val="none"/>
          <w:lang w:val="en-US" w:eastAsia="zh-CN"/>
        </w:rPr>
        <w:t>3</w:t>
      </w:r>
      <w:r>
        <w:rPr>
          <w:rFonts w:hint="eastAsia" w:ascii="仿宋" w:hAnsi="仿宋" w:eastAsia="仿宋" w:cs="仿宋"/>
          <w:color w:val="auto"/>
          <w:spacing w:val="0"/>
          <w:sz w:val="24"/>
          <w:szCs w:val="24"/>
          <w:highlight w:val="none"/>
        </w:rPr>
        <w:t>中选人与遴选人签订合同后，合同双方应严格执行合同条款，履行合同规定的义务，保证合同的顺利完成。</w:t>
      </w:r>
    </w:p>
    <w:p w14:paraId="1DB4687E">
      <w:pPr>
        <w:pageBreakBefore w:val="0"/>
        <w:kinsoku/>
        <w:wordWrap/>
        <w:overflowPunct/>
        <w:topLinePunct w:val="0"/>
        <w:bidi w:val="0"/>
        <w:snapToGrid/>
        <w:spacing w:line="0" w:lineRule="atLeast"/>
        <w:outlineLvl w:val="1"/>
        <w:rPr>
          <w:rFonts w:hint="eastAsia" w:ascii="仿宋" w:hAnsi="仿宋" w:eastAsia="仿宋" w:cs="仿宋"/>
          <w:color w:val="auto"/>
          <w:spacing w:val="0"/>
          <w:sz w:val="24"/>
          <w:szCs w:val="24"/>
          <w:highlight w:val="none"/>
        </w:rPr>
      </w:pPr>
      <w:r>
        <w:rPr>
          <w:rFonts w:hint="eastAsia" w:ascii="仿宋" w:hAnsi="仿宋" w:eastAsia="仿宋" w:cs="仿宋"/>
          <w:b/>
          <w:iCs/>
          <w:color w:val="auto"/>
          <w:spacing w:val="0"/>
          <w:sz w:val="24"/>
          <w:szCs w:val="24"/>
          <w:highlight w:val="none"/>
          <w:lang w:val="en-US" w:eastAsia="zh-CN"/>
        </w:rPr>
        <w:t>7</w:t>
      </w:r>
      <w:r>
        <w:rPr>
          <w:rFonts w:hint="eastAsia" w:ascii="仿宋" w:hAnsi="仿宋" w:eastAsia="仿宋" w:cs="仿宋"/>
          <w:b/>
          <w:iCs/>
          <w:color w:val="auto"/>
          <w:spacing w:val="0"/>
          <w:sz w:val="24"/>
          <w:szCs w:val="24"/>
          <w:highlight w:val="none"/>
        </w:rPr>
        <w:t>、遴选申请人禁止同时参加同一遴选项目的情形（实质性要求）</w:t>
      </w:r>
    </w:p>
    <w:p w14:paraId="3E971ADF">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7</w:t>
      </w:r>
      <w:r>
        <w:rPr>
          <w:rFonts w:hint="eastAsia" w:ascii="仿宋" w:hAnsi="仿宋" w:eastAsia="仿宋" w:cs="仿宋"/>
          <w:color w:val="auto"/>
          <w:spacing w:val="0"/>
          <w:sz w:val="24"/>
          <w:szCs w:val="24"/>
          <w:highlight w:val="none"/>
        </w:rPr>
        <w:t>.1利害关系遴选申请人禁止参加同一遴选项目情形：</w:t>
      </w:r>
    </w:p>
    <w:p w14:paraId="647C4F3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（1）单位负责人为同一人或者存在直接控股、管理关系的不同遴选申请人不得参加同一合同项下的采购活动。</w:t>
      </w:r>
    </w:p>
    <w:p w14:paraId="21DFC00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（2）不同遴选申请人之间存在项目经办人员混同的，不得参加同一合同项下的采购活动。</w:t>
      </w:r>
    </w:p>
    <w:p w14:paraId="25368C58">
      <w:pPr>
        <w:keepNext w:val="0"/>
        <w:keepLines w:val="0"/>
        <w:pageBreakBefore w:val="0"/>
        <w:widowControl w:val="0"/>
        <w:kinsoku/>
        <w:wordWrap/>
        <w:overflowPunct/>
        <w:topLinePunct w:val="0"/>
        <w:autoSpaceDE/>
        <w:autoSpaceDN/>
        <w:bidi w:val="0"/>
        <w:adjustRightInd/>
        <w:snapToGrid/>
        <w:spacing w:line="0" w:lineRule="atLeast"/>
        <w:ind w:firstLine="480" w:firstLineChars="200"/>
        <w:textAlignment w:val="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（3）不同遴选申请人之间存在相同股东，且该股东在不同遴选申请人中的任一遴选申请人中担任控股股东的，不得参加同一合同项下的采购活动。</w:t>
      </w:r>
    </w:p>
    <w:p w14:paraId="08EE54DD">
      <w:pPr>
        <w:keepNext w:val="0"/>
        <w:keepLines w:val="0"/>
        <w:pageBreakBefore w:val="0"/>
        <w:widowControl w:val="0"/>
        <w:kinsoku/>
        <w:wordWrap/>
        <w:overflowPunct/>
        <w:topLinePunct w:val="0"/>
        <w:autoSpaceDE/>
        <w:autoSpaceDN/>
        <w:bidi w:val="0"/>
        <w:adjustRightInd/>
        <w:snapToGrid/>
        <w:spacing w:line="0" w:lineRule="atLeast"/>
        <w:ind w:firstLine="480" w:firstLineChars="200"/>
        <w:textAlignment w:val="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（4）不同遴选申请人之间的法定代表人或单位负责人为同一人或存在亲属关系的，不得参加同一合同项下的采购活动。</w:t>
      </w:r>
    </w:p>
    <w:p w14:paraId="64D2321A">
      <w:pPr>
        <w:pStyle w:val="7"/>
        <w:keepNext w:val="0"/>
        <w:keepLines w:val="0"/>
        <w:pageBreakBefore w:val="0"/>
        <w:widowControl w:val="0"/>
        <w:kinsoku/>
        <w:wordWrap/>
        <w:overflowPunct/>
        <w:topLinePunct w:val="0"/>
        <w:autoSpaceDE/>
        <w:autoSpaceDN/>
        <w:bidi w:val="0"/>
        <w:adjustRightInd/>
        <w:snapToGrid/>
        <w:spacing w:after="0"/>
        <w:ind w:firstLine="480" w:firstLineChars="200"/>
        <w:textAlignment w:val="auto"/>
        <w:rPr>
          <w:rFonts w:hint="eastAsia"/>
          <w:color w:val="auto"/>
          <w:highlight w:val="none"/>
        </w:rPr>
      </w:pPr>
      <w:r>
        <w:rPr>
          <w:rFonts w:hint="eastAsia" w:ascii="仿宋" w:hAnsi="仿宋" w:eastAsia="仿宋" w:cs="仿宋"/>
          <w:color w:val="auto"/>
          <w:spacing w:val="0"/>
          <w:sz w:val="24"/>
          <w:szCs w:val="24"/>
          <w:highlight w:val="none"/>
        </w:rPr>
        <w:t>（</w:t>
      </w:r>
      <w:r>
        <w:rPr>
          <w:rFonts w:hint="eastAsia" w:ascii="仿宋" w:hAnsi="仿宋" w:eastAsia="仿宋" w:cs="仿宋"/>
          <w:color w:val="auto"/>
          <w:spacing w:val="0"/>
          <w:sz w:val="24"/>
          <w:szCs w:val="24"/>
          <w:highlight w:val="none"/>
          <w:lang w:val="en-US" w:eastAsia="zh-CN"/>
        </w:rPr>
        <w:t>5</w:t>
      </w:r>
      <w:r>
        <w:rPr>
          <w:rFonts w:hint="eastAsia" w:ascii="仿宋" w:hAnsi="仿宋" w:eastAsia="仿宋" w:cs="仿宋"/>
          <w:color w:val="auto"/>
          <w:spacing w:val="0"/>
          <w:sz w:val="24"/>
          <w:szCs w:val="24"/>
          <w:highlight w:val="none"/>
        </w:rPr>
        <w:t>）为采购项目提供整体设计、规范编制或者项目管理、监理、检测等服务的遴选申请人，不得再参加该采购项目的其他采购活动。</w:t>
      </w:r>
    </w:p>
    <w:p w14:paraId="39593C72">
      <w:pPr>
        <w:keepNext w:val="0"/>
        <w:keepLines w:val="0"/>
        <w:pageBreakBefore w:val="0"/>
        <w:widowControl w:val="0"/>
        <w:kinsoku/>
        <w:wordWrap/>
        <w:overflowPunct/>
        <w:topLinePunct w:val="0"/>
        <w:autoSpaceDE/>
        <w:autoSpaceDN/>
        <w:bidi w:val="0"/>
        <w:adjustRightInd/>
        <w:snapToGrid/>
        <w:spacing w:line="0" w:lineRule="atLeast"/>
        <w:ind w:firstLine="480" w:firstLineChars="200"/>
        <w:textAlignment w:val="auto"/>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7</w:t>
      </w:r>
      <w:r>
        <w:rPr>
          <w:rFonts w:hint="eastAsia" w:ascii="仿宋" w:hAnsi="仿宋" w:eastAsia="仿宋" w:cs="仿宋"/>
          <w:color w:val="auto"/>
          <w:spacing w:val="0"/>
          <w:sz w:val="24"/>
          <w:szCs w:val="24"/>
          <w:highlight w:val="none"/>
        </w:rPr>
        <w:t>.2利害关系代理人禁止参加同一遴选项目情形：2家以上的遴选申请人不得在同一合同项下的采购项目中，同时委托同一个自然人或存在亲属关系的人员、同一单位的人员作为其代理人，否则，其响应文件作为无效处理。</w:t>
      </w:r>
    </w:p>
    <w:p w14:paraId="607A1D37">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lang w:val="en-US" w:eastAsia="zh-CN"/>
        </w:rPr>
        <w:t>8、</w:t>
      </w:r>
      <w:r>
        <w:rPr>
          <w:rFonts w:hint="eastAsia" w:ascii="仿宋" w:hAnsi="仿宋" w:eastAsia="仿宋" w:cs="仿宋"/>
          <w:b/>
          <w:bCs/>
          <w:color w:val="auto"/>
          <w:spacing w:val="0"/>
          <w:sz w:val="24"/>
          <w:szCs w:val="24"/>
          <w:highlight w:val="none"/>
        </w:rPr>
        <w:t>遴选申请人异议</w:t>
      </w:r>
    </w:p>
    <w:p w14:paraId="6FFB3D9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8.1</w:t>
      </w:r>
      <w:r>
        <w:rPr>
          <w:rFonts w:hint="eastAsia" w:ascii="仿宋" w:hAnsi="仿宋" w:eastAsia="仿宋" w:cs="仿宋"/>
          <w:color w:val="auto"/>
          <w:spacing w:val="0"/>
          <w:sz w:val="24"/>
          <w:szCs w:val="24"/>
          <w:highlight w:val="none"/>
        </w:rPr>
        <w:t>联系方式：成华区第七人民医院</w:t>
      </w:r>
      <w:r>
        <w:rPr>
          <w:rFonts w:hint="eastAsia" w:ascii="仿宋" w:hAnsi="仿宋" w:eastAsia="仿宋" w:cs="仿宋"/>
          <w:b/>
          <w:bCs/>
          <w:color w:val="auto"/>
          <w:spacing w:val="0"/>
          <w:sz w:val="24"/>
          <w:szCs w:val="24"/>
          <w:highlight w:val="none"/>
          <w:u w:val="single"/>
        </w:rPr>
        <w:t>采购办 028-84111577转8042</w:t>
      </w:r>
      <w:r>
        <w:rPr>
          <w:rFonts w:hint="eastAsia" w:ascii="仿宋" w:hAnsi="仿宋" w:eastAsia="仿宋" w:cs="仿宋"/>
          <w:color w:val="auto"/>
          <w:spacing w:val="0"/>
          <w:sz w:val="24"/>
          <w:szCs w:val="24"/>
          <w:highlight w:val="none"/>
        </w:rPr>
        <w:t>。</w:t>
      </w:r>
    </w:p>
    <w:p w14:paraId="70DACE9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8.2联系</w:t>
      </w:r>
      <w:r>
        <w:rPr>
          <w:rFonts w:hint="eastAsia" w:ascii="仿宋" w:hAnsi="仿宋" w:eastAsia="仿宋" w:cs="仿宋"/>
          <w:color w:val="auto"/>
          <w:spacing w:val="0"/>
          <w:sz w:val="24"/>
          <w:szCs w:val="24"/>
          <w:highlight w:val="none"/>
        </w:rPr>
        <w:t>地址：成都市成华区第七人民医院康复院区（槐树店路45号）。</w:t>
      </w:r>
    </w:p>
    <w:p w14:paraId="529D53F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注：申请人对遴选</w:t>
      </w:r>
      <w:r>
        <w:rPr>
          <w:rFonts w:hint="eastAsia" w:ascii="仿宋" w:hAnsi="仿宋" w:eastAsia="仿宋" w:cs="仿宋"/>
          <w:color w:val="auto"/>
          <w:spacing w:val="0"/>
          <w:sz w:val="24"/>
          <w:szCs w:val="24"/>
          <w:highlight w:val="none"/>
          <w:lang w:val="en-US" w:eastAsia="zh-CN"/>
        </w:rPr>
        <w:t>文件</w:t>
      </w:r>
      <w:r>
        <w:rPr>
          <w:rFonts w:hint="eastAsia" w:ascii="仿宋" w:hAnsi="仿宋" w:eastAsia="仿宋" w:cs="仿宋"/>
          <w:color w:val="auto"/>
          <w:spacing w:val="0"/>
          <w:sz w:val="24"/>
          <w:szCs w:val="24"/>
          <w:highlight w:val="none"/>
        </w:rPr>
        <w:t>的异议应在遴选申请文件递交截止次日起</w:t>
      </w:r>
      <w:r>
        <w:rPr>
          <w:rFonts w:hint="eastAsia" w:ascii="仿宋" w:hAnsi="仿宋" w:eastAsia="仿宋" w:cs="仿宋"/>
          <w:color w:val="auto"/>
          <w:spacing w:val="0"/>
          <w:sz w:val="24"/>
          <w:szCs w:val="24"/>
          <w:highlight w:val="none"/>
          <w:lang w:val="en-US" w:eastAsia="zh-CN"/>
        </w:rPr>
        <w:t>3</w:t>
      </w:r>
      <w:r>
        <w:rPr>
          <w:rFonts w:hint="eastAsia" w:ascii="仿宋" w:hAnsi="仿宋" w:eastAsia="仿宋" w:cs="仿宋"/>
          <w:color w:val="auto"/>
          <w:spacing w:val="0"/>
          <w:sz w:val="24"/>
          <w:szCs w:val="24"/>
          <w:highlight w:val="none"/>
        </w:rPr>
        <w:t>个工作日内一次性提出；针对遴选结果的异议应在结果公告发布之日起</w:t>
      </w:r>
      <w:r>
        <w:rPr>
          <w:rFonts w:hint="eastAsia" w:ascii="仿宋" w:hAnsi="仿宋" w:eastAsia="仿宋" w:cs="仿宋"/>
          <w:color w:val="auto"/>
          <w:spacing w:val="0"/>
          <w:sz w:val="24"/>
          <w:szCs w:val="24"/>
          <w:highlight w:val="none"/>
          <w:lang w:val="en-US" w:eastAsia="zh-CN"/>
        </w:rPr>
        <w:t>3</w:t>
      </w:r>
      <w:r>
        <w:rPr>
          <w:rFonts w:hint="eastAsia" w:ascii="仿宋" w:hAnsi="仿宋" w:eastAsia="仿宋" w:cs="仿宋"/>
          <w:color w:val="auto"/>
          <w:spacing w:val="0"/>
          <w:sz w:val="24"/>
          <w:szCs w:val="24"/>
          <w:highlight w:val="none"/>
        </w:rPr>
        <w:t>个工作日内（不含当日）一次性提出；异议应以书面形式提出并加盖遴选申请人公章。</w:t>
      </w:r>
    </w:p>
    <w:p w14:paraId="03FC55D0">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9、不正当竞争预防措施（实质性要求）</w:t>
      </w:r>
    </w:p>
    <w:p w14:paraId="27E4349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9.1</w:t>
      </w:r>
      <w:r>
        <w:rPr>
          <w:rFonts w:hint="eastAsia" w:ascii="仿宋" w:hAnsi="仿宋" w:eastAsia="仿宋" w:cs="仿宋"/>
          <w:color w:val="auto"/>
          <w:spacing w:val="0"/>
          <w:sz w:val="24"/>
          <w:szCs w:val="24"/>
          <w:highlight w:val="none"/>
        </w:rPr>
        <w:t>在评审过程中，评审委员会认为遴选申请人报价明显低于其他通过符合性审查遴选申请人的报价，有可能影响产品质量或者不能诚信履约的，评审委员会应当要求其在评审现场合理的时间内提供成本构成书面说明，并提交相关证明材料。书面说明应当按照国家财务会计制度的规定要求，逐项就遴选申请人提供的货物、工程和服务的主营业务成本（应根据遴选申请人企业类型予以区别）、税金及附加、销售费用、管理费用、财务费用等成本构成事项详细陈述。</w:t>
      </w:r>
    </w:p>
    <w:p w14:paraId="55A31783">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9.2</w:t>
      </w:r>
      <w:r>
        <w:rPr>
          <w:rFonts w:hint="eastAsia" w:ascii="仿宋" w:hAnsi="仿宋" w:eastAsia="仿宋" w:cs="仿宋"/>
          <w:color w:val="auto"/>
          <w:spacing w:val="0"/>
          <w:sz w:val="24"/>
          <w:szCs w:val="24"/>
          <w:highlight w:val="none"/>
        </w:rPr>
        <w:t>遴选申请人书面说明应当签字确认或者加盖公章，否则无效。</w:t>
      </w:r>
    </w:p>
    <w:p w14:paraId="14555CC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9.3</w:t>
      </w:r>
      <w:r>
        <w:rPr>
          <w:rFonts w:hint="eastAsia" w:ascii="仿宋" w:hAnsi="仿宋" w:eastAsia="仿宋" w:cs="仿宋"/>
          <w:color w:val="auto"/>
          <w:spacing w:val="0"/>
          <w:sz w:val="24"/>
          <w:szCs w:val="24"/>
          <w:highlight w:val="none"/>
        </w:rPr>
        <w:t>遴选申请人提供书面说明后，评审委员会应当结合采购项目采购需求、专业实际情况、遴选申请人财务状况报告、与其他遴选申请人比较情况等就遴选申请人书面说明进行审查评价。遴选申请人拒绝或者变相拒绝提供有效书面说明或者书面说明不能证明其报价合理性的，评审委员会应当将其遴选申请文件作为无效响应处理。</w:t>
      </w:r>
    </w:p>
    <w:p w14:paraId="702E807E">
      <w:pPr>
        <w:pageBreakBefore w:val="0"/>
        <w:numPr>
          <w:ilvl w:val="0"/>
          <w:numId w:val="0"/>
        </w:numPr>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kern w:val="2"/>
          <w:sz w:val="24"/>
          <w:szCs w:val="24"/>
          <w:highlight w:val="none"/>
          <w:lang w:val="en-US" w:eastAsia="zh-CN" w:bidi="ar-SA"/>
        </w:rPr>
        <w:t>10、</w:t>
      </w:r>
      <w:r>
        <w:rPr>
          <w:rFonts w:hint="eastAsia" w:ascii="仿宋" w:hAnsi="仿宋" w:eastAsia="仿宋" w:cs="仿宋"/>
          <w:b/>
          <w:bCs/>
          <w:color w:val="auto"/>
          <w:spacing w:val="0"/>
          <w:sz w:val="24"/>
          <w:szCs w:val="24"/>
          <w:highlight w:val="none"/>
        </w:rPr>
        <w:t>合同分包（实质性要求）</w:t>
      </w:r>
    </w:p>
    <w:p w14:paraId="4EF950C0">
      <w:pPr>
        <w:pageBreakBefore w:val="0"/>
        <w:numPr>
          <w:ilvl w:val="0"/>
          <w:numId w:val="0"/>
        </w:numPr>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本项目不接受合同分包</w:t>
      </w:r>
    </w:p>
    <w:p w14:paraId="292D7F82">
      <w:pPr>
        <w:pageBreakBefore w:val="0"/>
        <w:kinsoku/>
        <w:wordWrap/>
        <w:overflowPunct/>
        <w:topLinePunct w:val="0"/>
        <w:bidi w:val="0"/>
        <w:snapToGrid/>
        <w:spacing w:line="0" w:lineRule="atLeast"/>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1</w:t>
      </w:r>
      <w:r>
        <w:rPr>
          <w:rFonts w:hint="eastAsia" w:ascii="仿宋" w:hAnsi="仿宋" w:eastAsia="仿宋" w:cs="仿宋"/>
          <w:b/>
          <w:bCs/>
          <w:color w:val="auto"/>
          <w:spacing w:val="0"/>
          <w:sz w:val="24"/>
          <w:szCs w:val="24"/>
          <w:highlight w:val="none"/>
          <w:lang w:val="en-US" w:eastAsia="zh-CN"/>
        </w:rPr>
        <w:t>1</w:t>
      </w:r>
      <w:r>
        <w:rPr>
          <w:rFonts w:hint="eastAsia" w:ascii="仿宋" w:hAnsi="仿宋" w:eastAsia="仿宋" w:cs="仿宋"/>
          <w:b/>
          <w:bCs/>
          <w:color w:val="auto"/>
          <w:spacing w:val="0"/>
          <w:sz w:val="24"/>
          <w:szCs w:val="24"/>
          <w:highlight w:val="none"/>
        </w:rPr>
        <w:t>、合同转包（实质性要求）</w:t>
      </w:r>
    </w:p>
    <w:p w14:paraId="03370E0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lang w:val="en-US" w:eastAsia="zh-CN"/>
        </w:rPr>
        <w:t>11.1</w:t>
      </w:r>
      <w:r>
        <w:rPr>
          <w:rFonts w:hint="eastAsia" w:ascii="仿宋" w:hAnsi="仿宋" w:eastAsia="仿宋" w:cs="仿宋"/>
          <w:color w:val="auto"/>
          <w:spacing w:val="0"/>
          <w:sz w:val="24"/>
          <w:szCs w:val="24"/>
          <w:highlight w:val="none"/>
        </w:rPr>
        <w:t>本采购项目严禁中选人将任何采购合同义务转包。本项目所称转包，是指中选人将采购合同义务转让给第三人，并退出现有采购合同当事人双方的权利义务关系，受让人（即第三人）成为采购合同的另一方当事人的行为。</w:t>
      </w:r>
    </w:p>
    <w:p w14:paraId="0490DFBC">
      <w:pPr>
        <w:pageBreakBefore w:val="0"/>
        <w:kinsoku/>
        <w:wordWrap/>
        <w:overflowPunct/>
        <w:topLinePunct w:val="0"/>
        <w:bidi w:val="0"/>
        <w:snapToGrid/>
        <w:spacing w:line="0" w:lineRule="atLeast"/>
        <w:ind w:firstLine="480" w:firstLineChars="200"/>
        <w:rPr>
          <w:rFonts w:hint="eastAsia"/>
          <w:color w:val="auto"/>
          <w:highlight w:val="none"/>
        </w:rPr>
      </w:pPr>
      <w:r>
        <w:rPr>
          <w:rFonts w:hint="eastAsia" w:ascii="仿宋" w:hAnsi="仿宋" w:eastAsia="仿宋" w:cs="仿宋"/>
          <w:color w:val="auto"/>
          <w:spacing w:val="0"/>
          <w:sz w:val="24"/>
          <w:szCs w:val="24"/>
          <w:highlight w:val="none"/>
          <w:lang w:val="en-US" w:eastAsia="zh-CN"/>
        </w:rPr>
        <w:t>11.2</w:t>
      </w:r>
      <w:r>
        <w:rPr>
          <w:rFonts w:hint="eastAsia" w:ascii="仿宋" w:hAnsi="仿宋" w:eastAsia="仿宋" w:cs="仿宋"/>
          <w:color w:val="auto"/>
          <w:spacing w:val="0"/>
          <w:sz w:val="24"/>
          <w:szCs w:val="24"/>
          <w:highlight w:val="none"/>
        </w:rPr>
        <w:t>中选人转包的，视同拒绝履行采购合同义务，将依法追究法律责任。</w:t>
      </w:r>
    </w:p>
    <w:p w14:paraId="7C398722">
      <w:pPr>
        <w:pStyle w:val="7"/>
        <w:pageBreakBefore w:val="0"/>
        <w:kinsoku/>
        <w:overflowPunct/>
        <w:topLinePunct w:val="0"/>
        <w:bidi w:val="0"/>
        <w:spacing w:after="0"/>
        <w:rPr>
          <w:rFonts w:hint="eastAsia"/>
          <w:color w:val="auto"/>
          <w:highlight w:val="none"/>
        </w:rPr>
      </w:pPr>
    </w:p>
    <w:p w14:paraId="267B2102">
      <w:pPr>
        <w:keepNext/>
        <w:keepLines/>
        <w:pageBreakBefore w:val="0"/>
        <w:kinsoku/>
        <w:wordWrap/>
        <w:overflowPunct/>
        <w:topLinePunct w:val="0"/>
        <w:bidi w:val="0"/>
        <w:snapToGrid/>
        <w:spacing w:line="0" w:lineRule="atLeast"/>
        <w:jc w:val="center"/>
        <w:rPr>
          <w:rFonts w:hint="eastAsia" w:ascii="仿宋" w:hAnsi="仿宋" w:eastAsia="仿宋" w:cs="仿宋"/>
          <w:b/>
          <w:color w:val="auto"/>
          <w:spacing w:val="0"/>
          <w:sz w:val="24"/>
          <w:szCs w:val="24"/>
          <w:highlight w:val="none"/>
        </w:rPr>
      </w:pPr>
    </w:p>
    <w:p w14:paraId="591DE0B1">
      <w:pPr>
        <w:pageBreakBefore w:val="0"/>
        <w:widowControl/>
        <w:kinsoku/>
        <w:wordWrap/>
        <w:overflowPunct/>
        <w:topLinePunct w:val="0"/>
        <w:bidi w:val="0"/>
        <w:snapToGrid/>
        <w:spacing w:line="0" w:lineRule="atLeast"/>
        <w:jc w:val="left"/>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br w:type="page"/>
      </w:r>
    </w:p>
    <w:p w14:paraId="7870D4D9">
      <w:pPr>
        <w:pStyle w:val="2"/>
        <w:pageBreakBefore w:val="0"/>
        <w:kinsoku/>
        <w:wordWrap/>
        <w:overflowPunct/>
        <w:topLinePunct w:val="0"/>
        <w:bidi w:val="0"/>
        <w:snapToGrid/>
        <w:spacing w:before="0" w:after="0" w:line="0" w:lineRule="atLeast"/>
        <w:jc w:val="center"/>
        <w:rPr>
          <w:rFonts w:hint="eastAsia" w:ascii="仿宋" w:hAnsi="仿宋" w:eastAsia="仿宋" w:cs="仿宋"/>
          <w:color w:val="auto"/>
          <w:spacing w:val="0"/>
          <w:sz w:val="30"/>
          <w:szCs w:val="30"/>
          <w:highlight w:val="none"/>
        </w:rPr>
      </w:pPr>
      <w:bookmarkStart w:id="4" w:name="_Toc66971933"/>
      <w:bookmarkStart w:id="5" w:name="_Toc69323337"/>
      <w:r>
        <w:rPr>
          <w:rFonts w:hint="eastAsia" w:ascii="仿宋" w:hAnsi="仿宋" w:eastAsia="仿宋" w:cs="仿宋"/>
          <w:bCs w:val="0"/>
          <w:color w:val="auto"/>
          <w:spacing w:val="0"/>
          <w:sz w:val="30"/>
          <w:szCs w:val="30"/>
          <w:highlight w:val="none"/>
        </w:rPr>
        <w:t>第二章遴选申请书</w:t>
      </w:r>
      <w:bookmarkEnd w:id="4"/>
      <w:bookmarkEnd w:id="5"/>
    </w:p>
    <w:p w14:paraId="4C9340A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1、遴选申请人在编制遴选申请书时应使用本章所附格式并符合有关要求；本章未规定格式的，由遴选申请人根据实际情况自主编制。</w:t>
      </w:r>
    </w:p>
    <w:p w14:paraId="17B6B63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2、遴选申请书应在遴选申请书封面和《法定代表人授权书》中的“遴选申请人”一栏填上遴选申请人的全称并在名称上加盖遴选申请人单位章。</w:t>
      </w:r>
    </w:p>
    <w:p w14:paraId="0924A5D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3、遴选申请书中的表格或空格如填写不下，可编辑扩充或另附页。除形式外，遴选申请人不得改变其内容要求。本章所附格式，遴选申请人为编制遴选申请书可以复印或编辑。</w:t>
      </w:r>
    </w:p>
    <w:p w14:paraId="759765A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4、遴选申请人应按照遴选申请书格式的要求编制遴选申请书。遴选申请书密封后按规定的时间和地点提交。</w:t>
      </w:r>
    </w:p>
    <w:p w14:paraId="109675C0">
      <w:pPr>
        <w:pageBreakBefore w:val="0"/>
        <w:kinsoku/>
        <w:wordWrap/>
        <w:overflowPunct/>
        <w:topLinePunct w:val="0"/>
        <w:bidi w:val="0"/>
        <w:snapToGrid/>
        <w:spacing w:line="0" w:lineRule="atLeast"/>
        <w:ind w:firstLine="560"/>
        <w:jc w:val="left"/>
        <w:rPr>
          <w:rFonts w:hint="eastAsia" w:ascii="仿宋" w:hAnsi="仿宋" w:eastAsia="仿宋" w:cs="仿宋"/>
          <w:color w:val="auto"/>
          <w:spacing w:val="0"/>
          <w:sz w:val="24"/>
          <w:szCs w:val="24"/>
          <w:highlight w:val="none"/>
        </w:rPr>
      </w:pPr>
    </w:p>
    <w:p w14:paraId="5C2E1CE6">
      <w:pPr>
        <w:pageBreakBefore w:val="0"/>
        <w:kinsoku/>
        <w:wordWrap/>
        <w:overflowPunct/>
        <w:topLinePunct w:val="0"/>
        <w:bidi w:val="0"/>
        <w:snapToGrid/>
        <w:spacing w:line="0" w:lineRule="atLeast"/>
        <w:ind w:firstLine="560"/>
        <w:jc w:val="left"/>
        <w:rPr>
          <w:rFonts w:hint="eastAsia" w:ascii="仿宋" w:hAnsi="仿宋" w:eastAsia="仿宋" w:cs="仿宋"/>
          <w:color w:val="auto"/>
          <w:spacing w:val="0"/>
          <w:sz w:val="24"/>
          <w:szCs w:val="24"/>
          <w:highlight w:val="none"/>
        </w:rPr>
      </w:pPr>
    </w:p>
    <w:p w14:paraId="2A6CF59A">
      <w:pPr>
        <w:pageBreakBefore w:val="0"/>
        <w:kinsoku/>
        <w:wordWrap/>
        <w:overflowPunct/>
        <w:topLinePunct w:val="0"/>
        <w:bidi w:val="0"/>
        <w:snapToGrid/>
        <w:spacing w:line="0" w:lineRule="atLeast"/>
        <w:ind w:firstLine="560"/>
        <w:jc w:val="left"/>
        <w:rPr>
          <w:rFonts w:hint="eastAsia" w:ascii="仿宋" w:hAnsi="仿宋" w:eastAsia="仿宋" w:cs="仿宋"/>
          <w:color w:val="auto"/>
          <w:spacing w:val="0"/>
          <w:sz w:val="24"/>
          <w:szCs w:val="24"/>
          <w:highlight w:val="none"/>
          <w:lang w:eastAsia="zh-CN"/>
        </w:rPr>
      </w:pPr>
    </w:p>
    <w:p w14:paraId="039E0113">
      <w:pPr>
        <w:pageBreakBefore w:val="0"/>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p>
    <w:p w14:paraId="725E1FE6">
      <w:pPr>
        <w:pageBreakBefore w:val="0"/>
        <w:kinsoku/>
        <w:wordWrap/>
        <w:overflowPunct/>
        <w:topLinePunct w:val="0"/>
        <w:bidi w:val="0"/>
        <w:snapToGrid/>
        <w:spacing w:line="0" w:lineRule="atLeast"/>
        <w:jc w:val="center"/>
        <w:rPr>
          <w:rFonts w:hint="eastAsia" w:ascii="仿宋" w:hAnsi="仿宋" w:eastAsia="仿宋" w:cs="仿宋"/>
          <w:b/>
          <w:color w:val="auto"/>
          <w:spacing w:val="0"/>
          <w:sz w:val="24"/>
          <w:szCs w:val="24"/>
          <w:highlight w:val="none"/>
        </w:rPr>
      </w:pPr>
    </w:p>
    <w:p w14:paraId="4089A63F">
      <w:pPr>
        <w:pageBreakBefore w:val="0"/>
        <w:kinsoku/>
        <w:wordWrap/>
        <w:overflowPunct/>
        <w:topLinePunct w:val="0"/>
        <w:bidi w:val="0"/>
        <w:snapToGrid/>
        <w:spacing w:line="0" w:lineRule="atLeast"/>
        <w:jc w:val="center"/>
        <w:rPr>
          <w:rFonts w:hint="eastAsia" w:ascii="仿宋" w:hAnsi="仿宋" w:eastAsia="仿宋" w:cs="仿宋"/>
          <w:b/>
          <w:color w:val="auto"/>
          <w:spacing w:val="0"/>
          <w:sz w:val="24"/>
          <w:szCs w:val="24"/>
          <w:highlight w:val="none"/>
        </w:rPr>
      </w:pPr>
    </w:p>
    <w:p w14:paraId="795BBD1B">
      <w:pPr>
        <w:pageBreakBefore w:val="0"/>
        <w:widowControl/>
        <w:kinsoku/>
        <w:wordWrap/>
        <w:overflowPunct/>
        <w:topLinePunct w:val="0"/>
        <w:bidi w:val="0"/>
        <w:snapToGrid/>
        <w:spacing w:line="0" w:lineRule="atLeast"/>
        <w:jc w:val="left"/>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br w:type="page"/>
      </w:r>
    </w:p>
    <w:p w14:paraId="5A5C200F">
      <w:pPr>
        <w:pageBreakBefore w:val="0"/>
        <w:kinsoku/>
        <w:wordWrap/>
        <w:overflowPunct/>
        <w:topLinePunct w:val="0"/>
        <w:bidi w:val="0"/>
        <w:snapToGrid/>
        <w:spacing w:line="0" w:lineRule="atLeast"/>
        <w:jc w:val="center"/>
        <w:rPr>
          <w:rFonts w:hint="eastAsia" w:ascii="仿宋" w:hAnsi="仿宋" w:eastAsia="仿宋" w:cs="仿宋"/>
          <w:b/>
          <w:color w:val="auto"/>
          <w:spacing w:val="0"/>
          <w:sz w:val="24"/>
          <w:szCs w:val="24"/>
          <w:highlight w:val="none"/>
        </w:rPr>
      </w:pPr>
    </w:p>
    <w:p w14:paraId="7E832C9F">
      <w:pPr>
        <w:pageBreakBefore w:val="0"/>
        <w:kinsoku/>
        <w:wordWrap/>
        <w:overflowPunct/>
        <w:topLinePunct w:val="0"/>
        <w:bidi w:val="0"/>
        <w:snapToGrid/>
        <w:spacing w:line="0" w:lineRule="atLeast"/>
        <w:jc w:val="center"/>
        <w:rPr>
          <w:rFonts w:hint="eastAsia" w:ascii="仿宋" w:hAnsi="仿宋" w:eastAsia="仿宋" w:cs="仿宋"/>
          <w:b/>
          <w:color w:val="auto"/>
          <w:spacing w:val="0"/>
          <w:sz w:val="36"/>
          <w:szCs w:val="36"/>
          <w:highlight w:val="none"/>
          <w:lang w:eastAsia="zh-CN"/>
        </w:rPr>
      </w:pPr>
      <w:r>
        <w:rPr>
          <w:rFonts w:hint="eastAsia" w:ascii="仿宋" w:hAnsi="仿宋" w:eastAsia="仿宋" w:cs="仿宋"/>
          <w:b/>
          <w:color w:val="auto"/>
          <w:spacing w:val="0"/>
          <w:sz w:val="36"/>
          <w:szCs w:val="36"/>
          <w:highlight w:val="none"/>
          <w:lang w:eastAsia="zh-CN"/>
        </w:rPr>
        <w:t>成都市成华区第七人民医院</w:t>
      </w:r>
    </w:p>
    <w:p w14:paraId="29B011D5">
      <w:pPr>
        <w:pageBreakBefore w:val="0"/>
        <w:kinsoku/>
        <w:wordWrap/>
        <w:overflowPunct/>
        <w:topLinePunct w:val="0"/>
        <w:bidi w:val="0"/>
        <w:snapToGrid/>
        <w:spacing w:line="0" w:lineRule="atLeast"/>
        <w:jc w:val="center"/>
        <w:rPr>
          <w:rFonts w:hint="eastAsia" w:ascii="仿宋" w:hAnsi="仿宋" w:eastAsia="仿宋" w:cs="仿宋"/>
          <w:b/>
          <w:color w:val="auto"/>
          <w:spacing w:val="0"/>
          <w:sz w:val="36"/>
          <w:szCs w:val="36"/>
          <w:highlight w:val="none"/>
          <w:lang w:eastAsia="zh-CN"/>
        </w:rPr>
      </w:pPr>
      <w:r>
        <w:rPr>
          <w:rFonts w:hint="eastAsia" w:ascii="仿宋" w:hAnsi="仿宋" w:eastAsia="仿宋" w:cs="仿宋"/>
          <w:b/>
          <w:color w:val="auto"/>
          <w:spacing w:val="0"/>
          <w:sz w:val="36"/>
          <w:szCs w:val="36"/>
          <w:highlight w:val="none"/>
          <w:lang w:eastAsia="zh-CN"/>
        </w:rPr>
        <w:t>2026-2028年职工补充医疗保险遴选项目</w:t>
      </w:r>
    </w:p>
    <w:p w14:paraId="32CA78F5">
      <w:pPr>
        <w:pageBreakBefore w:val="0"/>
        <w:kinsoku/>
        <w:wordWrap/>
        <w:overflowPunct/>
        <w:topLinePunct w:val="0"/>
        <w:bidi w:val="0"/>
        <w:snapToGrid/>
        <w:spacing w:line="0" w:lineRule="atLeast"/>
        <w:jc w:val="center"/>
        <w:rPr>
          <w:rFonts w:hint="eastAsia" w:ascii="仿宋" w:hAnsi="仿宋" w:eastAsia="仿宋" w:cs="仿宋"/>
          <w:b/>
          <w:color w:val="auto"/>
          <w:spacing w:val="0"/>
          <w:sz w:val="36"/>
          <w:szCs w:val="36"/>
          <w:highlight w:val="none"/>
        </w:rPr>
      </w:pPr>
      <w:r>
        <w:rPr>
          <w:rFonts w:hint="eastAsia" w:ascii="仿宋" w:hAnsi="仿宋" w:eastAsia="仿宋" w:cs="仿宋"/>
          <w:b/>
          <w:color w:val="auto"/>
          <w:spacing w:val="0"/>
          <w:sz w:val="36"/>
          <w:szCs w:val="36"/>
          <w:highlight w:val="none"/>
          <w:lang w:eastAsia="zh-CN"/>
        </w:rPr>
        <w:t>（第二次）</w:t>
      </w:r>
    </w:p>
    <w:p w14:paraId="0C2CECFD">
      <w:pPr>
        <w:pageBreakBefore w:val="0"/>
        <w:kinsoku/>
        <w:wordWrap/>
        <w:overflowPunct/>
        <w:topLinePunct w:val="0"/>
        <w:bidi w:val="0"/>
        <w:snapToGrid/>
        <w:spacing w:line="0" w:lineRule="atLeast"/>
        <w:jc w:val="center"/>
        <w:rPr>
          <w:rFonts w:hint="eastAsia" w:ascii="仿宋" w:hAnsi="仿宋" w:eastAsia="仿宋" w:cs="仿宋"/>
          <w:b/>
          <w:color w:val="auto"/>
          <w:spacing w:val="0"/>
          <w:sz w:val="44"/>
          <w:szCs w:val="44"/>
          <w:highlight w:val="none"/>
        </w:rPr>
      </w:pPr>
    </w:p>
    <w:p w14:paraId="5E499168">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p>
    <w:p w14:paraId="59144505">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遴</w:t>
      </w:r>
    </w:p>
    <w:p w14:paraId="7EAB4F93">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选</w:t>
      </w:r>
    </w:p>
    <w:p w14:paraId="39BE2C01">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申</w:t>
      </w:r>
    </w:p>
    <w:p w14:paraId="059E6346">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请</w:t>
      </w:r>
    </w:p>
    <w:p w14:paraId="5444A0E1">
      <w:pPr>
        <w:pageBreakBefore w:val="0"/>
        <w:kinsoku/>
        <w:wordWrap/>
        <w:overflowPunct/>
        <w:topLinePunct w:val="0"/>
        <w:bidi w:val="0"/>
        <w:snapToGrid/>
        <w:spacing w:line="0" w:lineRule="atLeast"/>
        <w:jc w:val="center"/>
        <w:rPr>
          <w:rFonts w:hint="eastAsia" w:ascii="仿宋" w:hAnsi="仿宋" w:eastAsia="仿宋" w:cs="仿宋"/>
          <w:b/>
          <w:color w:val="auto"/>
          <w:spacing w:val="0"/>
          <w:sz w:val="72"/>
          <w:szCs w:val="72"/>
          <w:highlight w:val="none"/>
        </w:rPr>
      </w:pPr>
      <w:r>
        <w:rPr>
          <w:rFonts w:hint="eastAsia" w:ascii="仿宋" w:hAnsi="仿宋" w:eastAsia="仿宋" w:cs="仿宋"/>
          <w:b/>
          <w:color w:val="auto"/>
          <w:spacing w:val="0"/>
          <w:sz w:val="72"/>
          <w:szCs w:val="72"/>
          <w:highlight w:val="none"/>
        </w:rPr>
        <w:t>书</w:t>
      </w:r>
    </w:p>
    <w:p w14:paraId="25DAEF85">
      <w:pPr>
        <w:pageBreakBefore w:val="0"/>
        <w:kinsoku/>
        <w:wordWrap/>
        <w:overflowPunct/>
        <w:topLinePunct w:val="0"/>
        <w:bidi w:val="0"/>
        <w:snapToGrid/>
        <w:spacing w:line="0" w:lineRule="atLeast"/>
        <w:rPr>
          <w:rFonts w:hint="eastAsia" w:ascii="仿宋" w:hAnsi="仿宋" w:eastAsia="仿宋" w:cs="仿宋"/>
          <w:color w:val="auto"/>
          <w:spacing w:val="0"/>
          <w:sz w:val="44"/>
          <w:szCs w:val="44"/>
          <w:highlight w:val="none"/>
        </w:rPr>
      </w:pPr>
    </w:p>
    <w:p w14:paraId="3E06C8D5">
      <w:pPr>
        <w:pStyle w:val="24"/>
        <w:pageBreakBefore w:val="0"/>
        <w:kinsoku/>
        <w:wordWrap/>
        <w:overflowPunct/>
        <w:topLinePunct w:val="0"/>
        <w:bidi w:val="0"/>
        <w:snapToGrid/>
        <w:spacing w:line="0" w:lineRule="atLeast"/>
        <w:rPr>
          <w:rFonts w:hint="eastAsia" w:ascii="仿宋" w:hAnsi="仿宋" w:eastAsia="仿宋" w:cs="仿宋"/>
          <w:color w:val="auto"/>
          <w:spacing w:val="0"/>
          <w:sz w:val="44"/>
          <w:szCs w:val="44"/>
          <w:highlight w:val="none"/>
        </w:rPr>
      </w:pPr>
    </w:p>
    <w:p w14:paraId="68A8D791">
      <w:pPr>
        <w:pageBreakBefore w:val="0"/>
        <w:kinsoku/>
        <w:wordWrap/>
        <w:overflowPunct/>
        <w:topLinePunct w:val="0"/>
        <w:bidi w:val="0"/>
        <w:snapToGrid/>
        <w:spacing w:line="0" w:lineRule="atLeast"/>
        <w:rPr>
          <w:rFonts w:hint="eastAsia" w:ascii="仿宋" w:hAnsi="仿宋" w:eastAsia="仿宋" w:cs="仿宋"/>
          <w:color w:val="auto"/>
          <w:spacing w:val="0"/>
          <w:sz w:val="44"/>
          <w:szCs w:val="44"/>
          <w:highlight w:val="none"/>
        </w:rPr>
      </w:pPr>
    </w:p>
    <w:p w14:paraId="42F1BADB">
      <w:pPr>
        <w:pageBreakBefore w:val="0"/>
        <w:kinsoku/>
        <w:wordWrap/>
        <w:overflowPunct/>
        <w:topLinePunct w:val="0"/>
        <w:bidi w:val="0"/>
        <w:snapToGrid/>
        <w:spacing w:line="0" w:lineRule="atLeast"/>
        <w:jc w:val="center"/>
        <w:rPr>
          <w:rFonts w:hint="eastAsia" w:ascii="仿宋" w:hAnsi="仿宋" w:eastAsia="仿宋" w:cs="仿宋"/>
          <w:b/>
          <w:bCs/>
          <w:color w:val="auto"/>
          <w:spacing w:val="0"/>
          <w:sz w:val="36"/>
          <w:szCs w:val="36"/>
          <w:highlight w:val="none"/>
        </w:rPr>
      </w:pPr>
      <w:r>
        <w:rPr>
          <w:rFonts w:hint="eastAsia" w:ascii="仿宋" w:hAnsi="仿宋" w:eastAsia="仿宋" w:cs="仿宋"/>
          <w:b/>
          <w:bCs/>
          <w:color w:val="auto"/>
          <w:spacing w:val="0"/>
          <w:sz w:val="36"/>
          <w:szCs w:val="36"/>
          <w:highlight w:val="none"/>
        </w:rPr>
        <w:t>遴选申请人：（全称并加盖单位公章）</w:t>
      </w:r>
    </w:p>
    <w:p w14:paraId="3706AA10">
      <w:pPr>
        <w:pageBreakBefore w:val="0"/>
        <w:kinsoku/>
        <w:wordWrap/>
        <w:overflowPunct/>
        <w:topLinePunct w:val="0"/>
        <w:bidi w:val="0"/>
        <w:snapToGrid/>
        <w:spacing w:line="0" w:lineRule="atLeast"/>
        <w:jc w:val="center"/>
        <w:rPr>
          <w:rFonts w:hint="eastAsia" w:ascii="仿宋" w:hAnsi="仿宋" w:eastAsia="仿宋" w:cs="仿宋"/>
          <w:b/>
          <w:bCs/>
          <w:color w:val="auto"/>
          <w:spacing w:val="0"/>
          <w:sz w:val="36"/>
          <w:szCs w:val="36"/>
          <w:highlight w:val="none"/>
        </w:rPr>
      </w:pPr>
      <w:r>
        <w:rPr>
          <w:rFonts w:hint="eastAsia" w:ascii="仿宋" w:hAnsi="仿宋" w:eastAsia="仿宋" w:cs="仿宋"/>
          <w:b/>
          <w:bCs/>
          <w:color w:val="auto"/>
          <w:spacing w:val="0"/>
          <w:sz w:val="36"/>
          <w:szCs w:val="36"/>
          <w:highlight w:val="none"/>
        </w:rPr>
        <w:t>X年X月X日</w:t>
      </w:r>
    </w:p>
    <w:p w14:paraId="28B7A7AA">
      <w:pPr>
        <w:pageBreakBefore w:val="0"/>
        <w:kinsoku/>
        <w:wordWrap/>
        <w:overflowPunct/>
        <w:topLinePunct w:val="0"/>
        <w:bidi w:val="0"/>
        <w:snapToGrid/>
        <w:spacing w:line="0" w:lineRule="atLeast"/>
        <w:jc w:val="center"/>
        <w:rPr>
          <w:rFonts w:hint="eastAsia" w:ascii="仿宋" w:hAnsi="仿宋" w:eastAsia="仿宋" w:cs="仿宋"/>
          <w:b/>
          <w:color w:val="auto"/>
          <w:spacing w:val="0"/>
          <w:sz w:val="36"/>
          <w:szCs w:val="36"/>
          <w:highlight w:val="none"/>
          <w:lang w:eastAsia="zh-CN"/>
        </w:rPr>
      </w:pPr>
    </w:p>
    <w:p w14:paraId="505EC4A1">
      <w:pPr>
        <w:pageBreakBefore w:val="0"/>
        <w:kinsoku/>
        <w:wordWrap/>
        <w:overflowPunct/>
        <w:topLinePunct w:val="0"/>
        <w:bidi w:val="0"/>
        <w:snapToGrid/>
        <w:spacing w:line="0" w:lineRule="atLeast"/>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br w:type="page"/>
      </w:r>
    </w:p>
    <w:p w14:paraId="7AAC7403">
      <w:pPr>
        <w:pStyle w:val="3"/>
        <w:pageBreakBefore w:val="0"/>
        <w:kinsoku/>
        <w:wordWrap/>
        <w:overflowPunct/>
        <w:topLinePunct w:val="0"/>
        <w:bidi w:val="0"/>
        <w:snapToGrid/>
        <w:spacing w:before="0" w:after="0" w:line="0" w:lineRule="atLeast"/>
        <w:rPr>
          <w:rFonts w:hint="eastAsia" w:ascii="仿宋" w:hAnsi="仿宋" w:eastAsia="仿宋" w:cs="仿宋"/>
          <w:bCs w:val="0"/>
          <w:color w:val="auto"/>
          <w:spacing w:val="0"/>
          <w:sz w:val="30"/>
          <w:szCs w:val="30"/>
          <w:highlight w:val="none"/>
        </w:rPr>
      </w:pPr>
      <w:r>
        <w:rPr>
          <w:rFonts w:hint="eastAsia" w:ascii="仿宋" w:hAnsi="仿宋" w:eastAsia="仿宋" w:cs="仿宋"/>
          <w:bCs w:val="0"/>
          <w:color w:val="auto"/>
          <w:spacing w:val="0"/>
          <w:sz w:val="30"/>
          <w:szCs w:val="30"/>
          <w:highlight w:val="none"/>
        </w:rPr>
        <w:t>1、法定代表人/单位负责人授权书</w:t>
      </w:r>
    </w:p>
    <w:p w14:paraId="214DD6A1">
      <w:pPr>
        <w:pageBreakBefore w:val="0"/>
        <w:kinsoku/>
        <w:wordWrap/>
        <w:overflowPunct/>
        <w:topLinePunct w:val="0"/>
        <w:bidi w:val="0"/>
        <w:snapToGrid/>
        <w:spacing w:line="0" w:lineRule="atLeast"/>
        <w:jc w:val="center"/>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30"/>
          <w:szCs w:val="30"/>
          <w:highlight w:val="none"/>
        </w:rPr>
        <w:t>（适用于非法定代表人直接参与）</w:t>
      </w:r>
    </w:p>
    <w:p w14:paraId="3D4CFAB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本授权委托书声明：我</w:t>
      </w:r>
      <w:r>
        <w:rPr>
          <w:rFonts w:hint="eastAsia" w:ascii="仿宋" w:hAnsi="仿宋" w:eastAsia="仿宋" w:cs="仿宋"/>
          <w:color w:val="auto"/>
          <w:spacing w:val="0"/>
          <w:sz w:val="24"/>
          <w:szCs w:val="24"/>
          <w:highlight w:val="none"/>
          <w:u w:val="single"/>
        </w:rPr>
        <w:t>（姓名）</w:t>
      </w:r>
      <w:r>
        <w:rPr>
          <w:rFonts w:hint="eastAsia" w:ascii="仿宋" w:hAnsi="仿宋" w:eastAsia="仿宋" w:cs="仿宋"/>
          <w:color w:val="auto"/>
          <w:spacing w:val="0"/>
          <w:sz w:val="24"/>
          <w:szCs w:val="24"/>
          <w:highlight w:val="none"/>
        </w:rPr>
        <w:t>系</w:t>
      </w:r>
      <w:r>
        <w:rPr>
          <w:rFonts w:hint="eastAsia" w:ascii="仿宋" w:hAnsi="仿宋" w:eastAsia="仿宋" w:cs="仿宋"/>
          <w:color w:val="auto"/>
          <w:spacing w:val="0"/>
          <w:sz w:val="24"/>
          <w:szCs w:val="24"/>
          <w:highlight w:val="none"/>
          <w:u w:val="single"/>
        </w:rPr>
        <w:t>（遴选申请人名称）</w:t>
      </w:r>
      <w:r>
        <w:rPr>
          <w:rFonts w:hint="eastAsia" w:ascii="仿宋" w:hAnsi="仿宋" w:eastAsia="仿宋" w:cs="仿宋"/>
          <w:color w:val="auto"/>
          <w:spacing w:val="0"/>
          <w:sz w:val="24"/>
          <w:szCs w:val="24"/>
          <w:highlight w:val="none"/>
        </w:rPr>
        <w:t>的法定代表人，现授权</w:t>
      </w:r>
      <w:r>
        <w:rPr>
          <w:rFonts w:hint="eastAsia" w:ascii="仿宋" w:hAnsi="仿宋" w:eastAsia="仿宋" w:cs="仿宋"/>
          <w:color w:val="auto"/>
          <w:spacing w:val="0"/>
          <w:sz w:val="24"/>
          <w:szCs w:val="24"/>
          <w:highlight w:val="none"/>
          <w:u w:val="single"/>
        </w:rPr>
        <w:t>（姓名）</w:t>
      </w:r>
      <w:r>
        <w:rPr>
          <w:rFonts w:hint="eastAsia" w:ascii="仿宋" w:hAnsi="仿宋" w:eastAsia="仿宋" w:cs="仿宋"/>
          <w:color w:val="auto"/>
          <w:spacing w:val="0"/>
          <w:sz w:val="24"/>
          <w:szCs w:val="24"/>
          <w:highlight w:val="none"/>
        </w:rPr>
        <w:t>为我单位委托代理人，以本单位的名义参加</w:t>
      </w:r>
      <w:r>
        <w:rPr>
          <w:rFonts w:hint="eastAsia" w:ascii="仿宋" w:hAnsi="仿宋" w:eastAsia="仿宋" w:cs="仿宋"/>
          <w:color w:val="auto"/>
          <w:spacing w:val="0"/>
          <w:sz w:val="24"/>
          <w:szCs w:val="24"/>
          <w:highlight w:val="none"/>
          <w:u w:val="single"/>
        </w:rPr>
        <w:t>（项目名称）（包号）</w:t>
      </w:r>
      <w:r>
        <w:rPr>
          <w:rFonts w:hint="eastAsia" w:ascii="仿宋" w:hAnsi="仿宋" w:eastAsia="仿宋" w:cs="仿宋"/>
          <w:color w:val="auto"/>
          <w:spacing w:val="0"/>
          <w:sz w:val="24"/>
          <w:szCs w:val="24"/>
          <w:highlight w:val="none"/>
        </w:rPr>
        <w:t>的遴选活动。委托代理人在遴选活动的合法代表，以我方名义全权处理该项目有关遴选、签订合同以及执行合同等一切事宜。</w:t>
      </w:r>
    </w:p>
    <w:p w14:paraId="2EA0995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委托代理人无转委托权。特此委托。</w:t>
      </w:r>
    </w:p>
    <w:p w14:paraId="46D80F8B">
      <w:pPr>
        <w:pageBreakBefore w:val="0"/>
        <w:kinsoku/>
        <w:wordWrap/>
        <w:overflowPunct/>
        <w:topLinePunct w:val="0"/>
        <w:bidi w:val="0"/>
        <w:snapToGrid/>
        <w:spacing w:line="0" w:lineRule="atLeast"/>
        <w:ind w:firstLine="560"/>
        <w:jc w:val="left"/>
        <w:rPr>
          <w:rFonts w:hint="eastAsia" w:ascii="仿宋" w:hAnsi="仿宋" w:eastAsia="仿宋" w:cs="仿宋"/>
          <w:color w:val="auto"/>
          <w:spacing w:val="0"/>
          <w:sz w:val="24"/>
          <w:szCs w:val="24"/>
          <w:highlight w:val="none"/>
        </w:rPr>
      </w:pPr>
    </w:p>
    <w:p w14:paraId="293C2DD3">
      <w:pPr>
        <w:pageBreakBefore w:val="0"/>
        <w:kinsoku/>
        <w:wordWrap/>
        <w:overflowPunct/>
        <w:topLinePunct w:val="0"/>
        <w:bidi w:val="0"/>
        <w:snapToGrid/>
        <w:spacing w:line="0" w:lineRule="atLeast"/>
        <w:ind w:firstLine="560"/>
        <w:jc w:val="left"/>
        <w:rPr>
          <w:rFonts w:hint="eastAsia" w:ascii="仿宋" w:hAnsi="仿宋" w:eastAsia="仿宋" w:cs="仿宋"/>
          <w:color w:val="auto"/>
          <w:spacing w:val="0"/>
          <w:sz w:val="24"/>
          <w:szCs w:val="24"/>
          <w:highlight w:val="none"/>
        </w:rPr>
      </w:pPr>
    </w:p>
    <w:p w14:paraId="0FE5D3A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授权人(法定代表人):</w:t>
      </w:r>
      <w:r>
        <w:rPr>
          <w:rFonts w:hint="eastAsia" w:ascii="仿宋" w:hAnsi="仿宋" w:eastAsia="仿宋" w:cs="仿宋"/>
          <w:color w:val="auto"/>
          <w:spacing w:val="0"/>
          <w:sz w:val="24"/>
          <w:szCs w:val="24"/>
          <w:highlight w:val="none"/>
          <w:u w:val="single"/>
        </w:rPr>
        <w:t>（签字）</w:t>
      </w:r>
      <w:r>
        <w:rPr>
          <w:rFonts w:hint="eastAsia" w:ascii="仿宋" w:hAnsi="仿宋" w:eastAsia="仿宋" w:cs="仿宋"/>
          <w:color w:val="auto"/>
          <w:spacing w:val="0"/>
          <w:sz w:val="24"/>
          <w:szCs w:val="24"/>
          <w:highlight w:val="none"/>
        </w:rPr>
        <w:t>联系电话：</w:t>
      </w:r>
    </w:p>
    <w:p w14:paraId="527F9C2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委托代理人：</w:t>
      </w:r>
      <w:r>
        <w:rPr>
          <w:rFonts w:hint="eastAsia" w:ascii="仿宋" w:hAnsi="仿宋" w:eastAsia="仿宋" w:cs="仿宋"/>
          <w:color w:val="auto"/>
          <w:spacing w:val="0"/>
          <w:sz w:val="24"/>
          <w:szCs w:val="24"/>
          <w:highlight w:val="none"/>
          <w:u w:val="single"/>
        </w:rPr>
        <w:t>（签字）</w:t>
      </w:r>
      <w:r>
        <w:rPr>
          <w:rFonts w:hint="eastAsia" w:ascii="仿宋" w:hAnsi="仿宋" w:eastAsia="仿宋" w:cs="仿宋"/>
          <w:color w:val="auto"/>
          <w:spacing w:val="0"/>
          <w:sz w:val="24"/>
          <w:szCs w:val="24"/>
          <w:highlight w:val="none"/>
        </w:rPr>
        <w:t>手机：</w:t>
      </w:r>
    </w:p>
    <w:p w14:paraId="1CB98A4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委托代理人部门：职务：</w:t>
      </w:r>
    </w:p>
    <w:p w14:paraId="1552820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单位电话：传真：</w:t>
      </w:r>
    </w:p>
    <w:p w14:paraId="3A38D39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w:t>
      </w:r>
      <w:r>
        <w:rPr>
          <w:rFonts w:hint="eastAsia" w:ascii="仿宋" w:hAnsi="仿宋" w:eastAsia="仿宋" w:cs="仿宋"/>
          <w:color w:val="auto"/>
          <w:spacing w:val="0"/>
          <w:sz w:val="24"/>
          <w:szCs w:val="24"/>
          <w:highlight w:val="none"/>
          <w:u w:val="single"/>
        </w:rPr>
        <w:t>（全称并加盖遴选申请人公章）</w:t>
      </w:r>
    </w:p>
    <w:p w14:paraId="4AF22AF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日期：年月日</w:t>
      </w:r>
    </w:p>
    <w:p w14:paraId="0A147AE9">
      <w:pPr>
        <w:pageBreakBefore w:val="0"/>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p>
    <w:p w14:paraId="5EAF121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（须附法定代表人和授权代表身份证复印件）</w:t>
      </w:r>
    </w:p>
    <w:p w14:paraId="17EE9389">
      <w:pPr>
        <w:pageBreakBefore w:val="0"/>
        <w:widowControl/>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br w:type="page"/>
      </w:r>
    </w:p>
    <w:p w14:paraId="2A13265E">
      <w:pPr>
        <w:pStyle w:val="3"/>
        <w:pageBreakBefore w:val="0"/>
        <w:kinsoku/>
        <w:wordWrap/>
        <w:overflowPunct/>
        <w:topLinePunct w:val="0"/>
        <w:bidi w:val="0"/>
        <w:snapToGrid/>
        <w:spacing w:before="0" w:after="0" w:line="0" w:lineRule="atLeast"/>
        <w:rPr>
          <w:rFonts w:hint="eastAsia" w:ascii="仿宋" w:hAnsi="仿宋" w:eastAsia="仿宋" w:cs="仿宋"/>
          <w:bCs w:val="0"/>
          <w:color w:val="auto"/>
          <w:spacing w:val="0"/>
          <w:sz w:val="30"/>
          <w:szCs w:val="30"/>
          <w:highlight w:val="none"/>
        </w:rPr>
      </w:pPr>
      <w:r>
        <w:rPr>
          <w:rFonts w:hint="eastAsia" w:ascii="仿宋" w:hAnsi="仿宋" w:eastAsia="仿宋" w:cs="仿宋"/>
          <w:bCs w:val="0"/>
          <w:color w:val="auto"/>
          <w:spacing w:val="0"/>
          <w:sz w:val="30"/>
          <w:szCs w:val="30"/>
          <w:highlight w:val="none"/>
        </w:rPr>
        <w:t>法定代表人/单位负责人证明书</w:t>
      </w:r>
    </w:p>
    <w:p w14:paraId="6C984A28">
      <w:pPr>
        <w:pageBreakBefore w:val="0"/>
        <w:kinsoku/>
        <w:wordWrap/>
        <w:overflowPunct/>
        <w:topLinePunct w:val="0"/>
        <w:bidi w:val="0"/>
        <w:snapToGrid/>
        <w:spacing w:line="0" w:lineRule="atLeast"/>
        <w:jc w:val="center"/>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30"/>
          <w:szCs w:val="30"/>
          <w:highlight w:val="none"/>
        </w:rPr>
        <w:t>（适用于法定代表人/单位负责人直接参与）</w:t>
      </w:r>
    </w:p>
    <w:p w14:paraId="07ACE95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遴选申请人单位名称：</w:t>
      </w:r>
    </w:p>
    <w:p w14:paraId="264DD41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单位性质：</w:t>
      </w:r>
    </w:p>
    <w:p w14:paraId="63B13262">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成立时间：年月日</w:t>
      </w:r>
    </w:p>
    <w:p w14:paraId="5C691E42">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经营期限：</w:t>
      </w:r>
    </w:p>
    <w:p w14:paraId="5449477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姓名：性别：年龄：职务：</w:t>
      </w:r>
    </w:p>
    <w:p w14:paraId="34BD8F4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系（遴选申请人名称）的法定代表人/单位负责人。</w:t>
      </w:r>
    </w:p>
    <w:p w14:paraId="1D8C7A32">
      <w:pPr>
        <w:pageBreakBefore w:val="0"/>
        <w:kinsoku/>
        <w:wordWrap/>
        <w:overflowPunct/>
        <w:topLinePunct w:val="0"/>
        <w:bidi w:val="0"/>
        <w:snapToGrid/>
        <w:spacing w:line="0" w:lineRule="atLeast"/>
        <w:ind w:firstLine="960" w:firstLineChars="400"/>
        <w:rPr>
          <w:rFonts w:hint="eastAsia" w:ascii="仿宋" w:hAnsi="仿宋" w:eastAsia="仿宋" w:cs="仿宋"/>
          <w:color w:val="auto"/>
          <w:spacing w:val="0"/>
          <w:sz w:val="24"/>
          <w:szCs w:val="24"/>
          <w:highlight w:val="none"/>
        </w:rPr>
      </w:pPr>
    </w:p>
    <w:p w14:paraId="12B9BDAF">
      <w:pPr>
        <w:pageBreakBefore w:val="0"/>
        <w:kinsoku/>
        <w:wordWrap/>
        <w:overflowPunct/>
        <w:topLinePunct w:val="0"/>
        <w:bidi w:val="0"/>
        <w:snapToGrid/>
        <w:spacing w:line="0" w:lineRule="atLeast"/>
        <w:ind w:firstLine="960" w:firstLineChars="4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特此证明。</w:t>
      </w:r>
    </w:p>
    <w:p w14:paraId="7B30D382">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p>
    <w:p w14:paraId="05A5121F">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w:t>
      </w:r>
      <w:r>
        <w:rPr>
          <w:rFonts w:hint="eastAsia" w:ascii="仿宋" w:hAnsi="仿宋" w:eastAsia="仿宋" w:cs="仿宋"/>
          <w:color w:val="auto"/>
          <w:spacing w:val="0"/>
          <w:sz w:val="24"/>
          <w:szCs w:val="24"/>
          <w:highlight w:val="none"/>
          <w:u w:val="single"/>
        </w:rPr>
        <w:t>（单位公章）</w:t>
      </w:r>
      <w:r>
        <w:rPr>
          <w:rFonts w:hint="eastAsia" w:ascii="仿宋" w:hAnsi="仿宋" w:eastAsia="仿宋" w:cs="仿宋"/>
          <w:color w:val="auto"/>
          <w:spacing w:val="0"/>
          <w:sz w:val="24"/>
          <w:szCs w:val="24"/>
          <w:highlight w:val="none"/>
        </w:rPr>
        <w:t>。</w:t>
      </w:r>
    </w:p>
    <w:p w14:paraId="25BED0A1">
      <w:pPr>
        <w:pageBreakBefore w:val="0"/>
        <w:kinsoku/>
        <w:wordWrap/>
        <w:overflowPunct/>
        <w:topLinePunct w:val="0"/>
        <w:bidi w:val="0"/>
        <w:snapToGrid/>
        <w:spacing w:line="0" w:lineRule="atLeast"/>
        <w:ind w:firstLine="484" w:firstLineChars="202"/>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日期：。</w:t>
      </w:r>
    </w:p>
    <w:p w14:paraId="78926944">
      <w:pPr>
        <w:pageBreakBefore w:val="0"/>
        <w:kinsoku/>
        <w:wordWrap/>
        <w:overflowPunct/>
        <w:topLinePunct w:val="0"/>
        <w:bidi w:val="0"/>
        <w:snapToGrid/>
        <w:spacing w:line="0" w:lineRule="atLeast"/>
        <w:ind w:firstLine="484" w:firstLineChars="202"/>
        <w:jc w:val="left"/>
        <w:rPr>
          <w:rFonts w:hint="eastAsia" w:ascii="仿宋" w:hAnsi="仿宋" w:eastAsia="仿宋" w:cs="仿宋"/>
          <w:color w:val="auto"/>
          <w:spacing w:val="0"/>
          <w:sz w:val="24"/>
          <w:szCs w:val="24"/>
          <w:highlight w:val="none"/>
        </w:rPr>
      </w:pPr>
    </w:p>
    <w:p w14:paraId="287F5530">
      <w:pPr>
        <w:pageBreakBefore w:val="0"/>
        <w:kinsoku/>
        <w:wordWrap/>
        <w:overflowPunct/>
        <w:topLinePunct w:val="0"/>
        <w:bidi w:val="0"/>
        <w:snapToGrid/>
        <w:spacing w:line="0" w:lineRule="atLeast"/>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注：1、遴选申请人为法人单位时提供“法定代表人证明书”，遴选申请人为其他组织时提供“单位负责人证明书”。</w:t>
      </w:r>
    </w:p>
    <w:p w14:paraId="3A3C69EC">
      <w:pPr>
        <w:pageBreakBefore w:val="0"/>
        <w:kinsoku/>
        <w:wordWrap/>
        <w:overflowPunct/>
        <w:topLinePunct w:val="0"/>
        <w:bidi w:val="0"/>
        <w:snapToGrid/>
        <w:spacing w:line="0" w:lineRule="atLeast"/>
        <w:ind w:firstLine="482" w:firstLineChars="200"/>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t>2、法定代表人/单位负责人直接参与遴选并签署响应文件时才须提供；</w:t>
      </w:r>
    </w:p>
    <w:p w14:paraId="4E04B08B">
      <w:pPr>
        <w:pageBreakBefore w:val="0"/>
        <w:kinsoku/>
        <w:wordWrap/>
        <w:overflowPunct/>
        <w:topLinePunct w:val="0"/>
        <w:bidi w:val="0"/>
        <w:snapToGrid/>
        <w:spacing w:line="0" w:lineRule="atLeast"/>
        <w:ind w:firstLine="482" w:firstLineChars="200"/>
        <w:rPr>
          <w:rFonts w:hint="eastAsia" w:ascii="仿宋" w:hAnsi="仿宋" w:eastAsia="仿宋" w:cs="仿宋"/>
          <w:bCs w:val="0"/>
          <w:color w:val="auto"/>
          <w:spacing w:val="0"/>
          <w:sz w:val="24"/>
          <w:szCs w:val="24"/>
          <w:highlight w:val="none"/>
        </w:rPr>
        <w:sectPr>
          <w:footerReference r:id="rId5" w:type="default"/>
          <w:type w:val="continuous"/>
          <w:pgSz w:w="11906" w:h="16838"/>
          <w:pgMar w:top="1440" w:right="1080" w:bottom="1440" w:left="1080" w:header="851" w:footer="992" w:gutter="0"/>
          <w:pgNumType w:fmt="numberInDash"/>
          <w:cols w:space="425" w:num="1"/>
          <w:docGrid w:type="lines" w:linePitch="312" w:charSpace="0"/>
        </w:sectPr>
      </w:pPr>
      <w:r>
        <w:rPr>
          <w:rFonts w:hint="eastAsia" w:ascii="仿宋" w:hAnsi="仿宋" w:eastAsia="仿宋" w:cs="仿宋"/>
          <w:b/>
          <w:color w:val="auto"/>
          <w:spacing w:val="0"/>
          <w:sz w:val="24"/>
          <w:szCs w:val="24"/>
          <w:highlight w:val="none"/>
        </w:rPr>
        <w:t>3、应附法定代表人/单位负责人身份证（正反面）复印件；（提供身份证有困难的，也可提供户口本或军官证或护照等身份证明材料）</w:t>
      </w:r>
    </w:p>
    <w:p w14:paraId="6C325F3A">
      <w:pPr>
        <w:pStyle w:val="3"/>
        <w:pageBreakBefore w:val="0"/>
        <w:numPr>
          <w:ilvl w:val="0"/>
          <w:numId w:val="0"/>
        </w:numPr>
        <w:kinsoku/>
        <w:wordWrap/>
        <w:overflowPunct/>
        <w:topLinePunct w:val="0"/>
        <w:bidi w:val="0"/>
        <w:snapToGrid/>
        <w:spacing w:before="0" w:after="0" w:line="0" w:lineRule="atLeast"/>
        <w:rPr>
          <w:rFonts w:hint="eastAsia" w:ascii="仿宋" w:hAnsi="仿宋" w:eastAsia="仿宋" w:cs="仿宋"/>
          <w:bCs w:val="0"/>
          <w:color w:val="auto"/>
          <w:spacing w:val="0"/>
          <w:sz w:val="24"/>
          <w:szCs w:val="24"/>
          <w:highlight w:val="none"/>
        </w:rPr>
      </w:pPr>
      <w:r>
        <w:rPr>
          <w:rFonts w:hint="eastAsia" w:ascii="仿宋" w:hAnsi="仿宋" w:eastAsia="仿宋" w:cs="仿宋"/>
          <w:b/>
          <w:bCs w:val="0"/>
          <w:iCs/>
          <w:color w:val="auto"/>
          <w:spacing w:val="0"/>
          <w:kern w:val="2"/>
          <w:sz w:val="30"/>
          <w:szCs w:val="30"/>
          <w:highlight w:val="none"/>
          <w:lang w:val="en-US" w:eastAsia="zh-CN" w:bidi="ar-SA"/>
        </w:rPr>
        <w:t>2、</w:t>
      </w:r>
      <w:r>
        <w:rPr>
          <w:rFonts w:hint="eastAsia" w:ascii="仿宋" w:hAnsi="仿宋" w:eastAsia="仿宋" w:cs="仿宋"/>
          <w:bCs w:val="0"/>
          <w:color w:val="auto"/>
          <w:spacing w:val="0"/>
          <w:sz w:val="30"/>
          <w:szCs w:val="30"/>
          <w:highlight w:val="none"/>
        </w:rPr>
        <w:t>报价函</w:t>
      </w:r>
    </w:p>
    <w:p w14:paraId="46F9310E">
      <w:pPr>
        <w:pageBreakBefore w:val="0"/>
        <w:kinsoku/>
        <w:overflowPunct/>
        <w:topLinePunct w:val="0"/>
        <w:bidi w:val="0"/>
        <w:rPr>
          <w:rFonts w:hint="eastAsia" w:ascii="仿宋" w:hAnsi="仿宋" w:eastAsia="仿宋" w:cs="仿宋"/>
          <w:color w:val="auto"/>
          <w:spacing w:val="0"/>
          <w:sz w:val="24"/>
          <w:szCs w:val="24"/>
          <w:highlight w:val="none"/>
        </w:rPr>
      </w:pPr>
    </w:p>
    <w:p w14:paraId="61F1DEC6">
      <w:pPr>
        <w:pStyle w:val="7"/>
        <w:pageBreakBefore w:val="0"/>
        <w:kinsoku/>
        <w:overflowPunct/>
        <w:topLinePunct w:val="0"/>
        <w:bidi w:val="0"/>
        <w:spacing w:after="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遴选项目名称：</w:t>
      </w:r>
      <w:r>
        <w:rPr>
          <w:rFonts w:hint="eastAsia" w:ascii="仿宋" w:hAnsi="仿宋" w:eastAsia="仿宋" w:cs="仿宋"/>
          <w:color w:val="auto"/>
          <w:sz w:val="24"/>
          <w:szCs w:val="24"/>
          <w:highlight w:val="none"/>
          <w:lang w:eastAsia="zh-CN"/>
        </w:rPr>
        <w:t>2026-2028年职工补充医疗保险遴选项目（第二次）</w:t>
      </w:r>
    </w:p>
    <w:p w14:paraId="490888AE">
      <w:pPr>
        <w:pStyle w:val="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遴选编号：</w:t>
      </w:r>
      <w:r>
        <w:rPr>
          <w:rFonts w:hint="eastAsia" w:ascii="仿宋" w:hAnsi="仿宋" w:eastAsia="仿宋" w:cs="仿宋"/>
          <w:color w:val="auto"/>
          <w:sz w:val="24"/>
          <w:szCs w:val="24"/>
          <w:highlight w:val="none"/>
          <w:lang w:val="en-US" w:eastAsia="zh-CN"/>
        </w:rPr>
        <w:t>01</w:t>
      </w:r>
    </w:p>
    <w:tbl>
      <w:tblPr>
        <w:tblStyle w:val="1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0" w:type="dxa"/>
          <w:bottom w:w="0" w:type="dxa"/>
          <w:right w:w="0" w:type="dxa"/>
        </w:tblCellMar>
      </w:tblPr>
      <w:tblGrid>
        <w:gridCol w:w="925"/>
        <w:gridCol w:w="591"/>
        <w:gridCol w:w="547"/>
        <w:gridCol w:w="836"/>
        <w:gridCol w:w="1009"/>
        <w:gridCol w:w="1075"/>
        <w:gridCol w:w="492"/>
        <w:gridCol w:w="2043"/>
        <w:gridCol w:w="1420"/>
        <w:gridCol w:w="1941"/>
        <w:gridCol w:w="1947"/>
        <w:gridCol w:w="1198"/>
      </w:tblGrid>
      <w:tr w14:paraId="6B14D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0" w:type="dxa"/>
            <w:bottom w:w="0" w:type="dxa"/>
            <w:right w:w="0" w:type="dxa"/>
          </w:tblCellMar>
        </w:tblPrEx>
        <w:trPr>
          <w:trHeight w:val="773" w:hRule="atLeast"/>
        </w:trPr>
        <w:tc>
          <w:tcPr>
            <w:tcW w:w="329"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09823E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color w:val="auto"/>
                <w:kern w:val="0"/>
                <w:sz w:val="24"/>
                <w:szCs w:val="24"/>
                <w:highlight w:val="none"/>
                <w:u w:val="none"/>
                <w:shd w:val="clear" w:color="auto" w:fill="auto"/>
                <w:lang w:val="en-US" w:eastAsia="zh-CN" w:bidi="ar"/>
              </w:rPr>
            </w:pPr>
            <w:r>
              <w:rPr>
                <w:rFonts w:hint="eastAsia" w:ascii="仿宋" w:hAnsi="仿宋" w:eastAsia="仿宋" w:cs="仿宋"/>
                <w:b/>
                <w:bCs/>
                <w:i w:val="0"/>
                <w:color w:val="auto"/>
                <w:kern w:val="0"/>
                <w:sz w:val="24"/>
                <w:szCs w:val="24"/>
                <w:highlight w:val="none"/>
                <w:u w:val="none"/>
                <w:shd w:val="clear" w:color="auto" w:fill="auto"/>
                <w:lang w:val="en-US" w:eastAsia="zh-CN" w:bidi="ar"/>
              </w:rPr>
              <w:t>项目</w:t>
            </w:r>
          </w:p>
          <w:p w14:paraId="5151DF5D">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color w:val="auto"/>
                <w:sz w:val="24"/>
                <w:szCs w:val="24"/>
                <w:highlight w:val="none"/>
                <w:u w:val="none"/>
                <w:shd w:val="clear" w:color="auto" w:fill="auto"/>
              </w:rPr>
            </w:pPr>
            <w:r>
              <w:rPr>
                <w:rFonts w:hint="eastAsia" w:ascii="仿宋" w:hAnsi="仿宋" w:eastAsia="仿宋" w:cs="仿宋"/>
                <w:b/>
                <w:bCs/>
                <w:i w:val="0"/>
                <w:color w:val="auto"/>
                <w:kern w:val="0"/>
                <w:sz w:val="24"/>
                <w:szCs w:val="24"/>
                <w:highlight w:val="none"/>
                <w:u w:val="none"/>
                <w:shd w:val="clear" w:color="auto" w:fill="auto"/>
                <w:lang w:val="en-US" w:eastAsia="zh-CN" w:bidi="ar"/>
              </w:rPr>
              <w:t>名称</w:t>
            </w:r>
          </w:p>
        </w:tc>
        <w:tc>
          <w:tcPr>
            <w:tcW w:w="210"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C6A2959">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b/>
                <w:bCs/>
                <w:i w:val="0"/>
                <w:color w:val="auto"/>
                <w:sz w:val="24"/>
                <w:szCs w:val="24"/>
                <w:highlight w:val="none"/>
                <w:u w:val="none"/>
                <w:shd w:val="clear" w:color="auto" w:fill="auto"/>
                <w:lang w:val="en-US" w:eastAsia="zh-CN"/>
              </w:rPr>
            </w:pPr>
            <w:r>
              <w:rPr>
                <w:rFonts w:hint="eastAsia" w:ascii="仿宋" w:hAnsi="仿宋" w:eastAsia="仿宋" w:cs="仿宋"/>
                <w:b/>
                <w:bCs/>
                <w:i w:val="0"/>
                <w:color w:val="auto"/>
                <w:sz w:val="24"/>
                <w:szCs w:val="24"/>
                <w:highlight w:val="none"/>
                <w:u w:val="none"/>
                <w:shd w:val="clear" w:color="auto" w:fill="auto"/>
                <w:lang w:val="en-US" w:eastAsia="zh-CN"/>
              </w:rPr>
              <w:t>险种</w:t>
            </w:r>
          </w:p>
        </w:tc>
        <w:tc>
          <w:tcPr>
            <w:tcW w:w="195"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BA51D19">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b/>
                <w:bCs/>
                <w:i w:val="0"/>
                <w:color w:val="auto"/>
                <w:sz w:val="24"/>
                <w:szCs w:val="24"/>
                <w:highlight w:val="none"/>
                <w:u w:val="none"/>
                <w:shd w:val="clear" w:color="auto" w:fill="auto"/>
                <w:lang w:val="en-US" w:eastAsia="zh-CN"/>
              </w:rPr>
            </w:pPr>
            <w:r>
              <w:rPr>
                <w:rFonts w:hint="eastAsia" w:ascii="仿宋" w:hAnsi="仿宋" w:eastAsia="仿宋" w:cs="仿宋"/>
                <w:b/>
                <w:bCs/>
                <w:i w:val="0"/>
                <w:color w:val="auto"/>
                <w:sz w:val="24"/>
                <w:szCs w:val="24"/>
                <w:highlight w:val="none"/>
                <w:u w:val="none"/>
                <w:shd w:val="clear" w:color="auto" w:fill="auto"/>
                <w:lang w:val="en-US" w:eastAsia="zh-CN"/>
              </w:rPr>
              <w:t>保障对象类别</w:t>
            </w:r>
          </w:p>
        </w:tc>
        <w:tc>
          <w:tcPr>
            <w:tcW w:w="29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ADB1AE3">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val="en-US" w:eastAsia="zh-CN" w:bidi="ar"/>
              </w:rPr>
              <w:t>拟采购</w:t>
            </w:r>
          </w:p>
          <w:p w14:paraId="38082A23">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b/>
                <w:bCs/>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val="en-US" w:eastAsia="zh-CN" w:bidi="ar"/>
              </w:rPr>
              <w:t>人数</w:t>
            </w:r>
            <w:r>
              <w:rPr>
                <w:rFonts w:hint="eastAsia" w:ascii="仿宋" w:hAnsi="仿宋" w:eastAsia="仿宋" w:cs="仿宋"/>
                <w:b/>
                <w:bCs/>
                <w:color w:val="auto"/>
                <w:kern w:val="0"/>
                <w:sz w:val="24"/>
                <w:szCs w:val="24"/>
                <w:highlight w:val="none"/>
                <w:u w:val="none"/>
                <w:shd w:val="clear" w:color="auto" w:fill="auto"/>
                <w:lang w:bidi="ar"/>
              </w:rPr>
              <w:t>（人）</w:t>
            </w:r>
          </w:p>
        </w:tc>
        <w:tc>
          <w:tcPr>
            <w:tcW w:w="359"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9978F36">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bidi="ar"/>
              </w:rPr>
            </w:pPr>
            <w:r>
              <w:rPr>
                <w:rFonts w:hint="eastAsia" w:ascii="仿宋" w:hAnsi="仿宋" w:eastAsia="仿宋" w:cs="仿宋"/>
                <w:b/>
                <w:bCs/>
                <w:color w:val="auto"/>
                <w:kern w:val="0"/>
                <w:sz w:val="24"/>
                <w:szCs w:val="24"/>
                <w:highlight w:val="none"/>
                <w:u w:val="none"/>
                <w:shd w:val="clear" w:color="auto" w:fill="auto"/>
                <w:lang w:val="en-US" w:eastAsia="zh-CN" w:bidi="ar"/>
              </w:rPr>
              <w:t>单价</w:t>
            </w:r>
            <w:r>
              <w:rPr>
                <w:rFonts w:hint="eastAsia" w:ascii="仿宋" w:hAnsi="仿宋" w:eastAsia="仿宋" w:cs="仿宋"/>
                <w:b/>
                <w:bCs/>
                <w:color w:val="auto"/>
                <w:kern w:val="0"/>
                <w:sz w:val="24"/>
                <w:szCs w:val="24"/>
                <w:highlight w:val="none"/>
                <w:u w:val="none"/>
                <w:shd w:val="clear" w:color="auto" w:fill="auto"/>
                <w:lang w:bidi="ar"/>
              </w:rPr>
              <w:t>限价</w:t>
            </w:r>
          </w:p>
          <w:p w14:paraId="396A897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bidi="ar"/>
              </w:rPr>
            </w:pPr>
            <w:r>
              <w:rPr>
                <w:rFonts w:hint="eastAsia" w:ascii="仿宋" w:hAnsi="仿宋" w:eastAsia="仿宋" w:cs="仿宋"/>
                <w:b/>
                <w:bCs/>
                <w:color w:val="auto"/>
                <w:kern w:val="0"/>
                <w:sz w:val="24"/>
                <w:szCs w:val="24"/>
                <w:highlight w:val="none"/>
                <w:u w:val="none"/>
                <w:shd w:val="clear" w:color="auto" w:fill="auto"/>
                <w:lang w:bidi="ar"/>
              </w:rPr>
              <w:t>（元/</w:t>
            </w:r>
            <w:r>
              <w:rPr>
                <w:rFonts w:hint="eastAsia" w:ascii="仿宋" w:hAnsi="仿宋" w:eastAsia="仿宋" w:cs="仿宋"/>
                <w:b/>
                <w:bCs/>
                <w:color w:val="auto"/>
                <w:kern w:val="0"/>
                <w:sz w:val="24"/>
                <w:szCs w:val="24"/>
                <w:highlight w:val="none"/>
                <w:u w:val="none"/>
                <w:shd w:val="clear" w:color="auto" w:fill="auto"/>
                <w:lang w:val="en-US" w:eastAsia="zh-CN" w:bidi="ar"/>
              </w:rPr>
              <w:t>人</w:t>
            </w:r>
            <w:r>
              <w:rPr>
                <w:rFonts w:hint="eastAsia" w:ascii="仿宋" w:hAnsi="仿宋" w:eastAsia="仿宋" w:cs="仿宋"/>
                <w:b/>
                <w:bCs/>
                <w:color w:val="auto"/>
                <w:kern w:val="0"/>
                <w:sz w:val="24"/>
                <w:szCs w:val="24"/>
                <w:highlight w:val="none"/>
                <w:u w:val="none"/>
                <w:shd w:val="clear" w:color="auto" w:fill="auto"/>
                <w:lang w:bidi="ar"/>
              </w:rPr>
              <w:t>）</w:t>
            </w:r>
          </w:p>
        </w:tc>
        <w:tc>
          <w:tcPr>
            <w:tcW w:w="383"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0B5793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val="en-US" w:eastAsia="zh-CN" w:bidi="ar"/>
              </w:rPr>
              <w:t>合计</w:t>
            </w:r>
          </w:p>
          <w:p w14:paraId="56606CE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bidi="ar"/>
              </w:rPr>
            </w:pPr>
            <w:r>
              <w:rPr>
                <w:rFonts w:hint="eastAsia" w:ascii="仿宋" w:hAnsi="仿宋" w:eastAsia="仿宋" w:cs="仿宋"/>
                <w:b/>
                <w:bCs/>
                <w:color w:val="auto"/>
                <w:kern w:val="0"/>
                <w:sz w:val="24"/>
                <w:szCs w:val="24"/>
                <w:highlight w:val="none"/>
                <w:u w:val="none"/>
                <w:shd w:val="clear" w:color="auto" w:fill="auto"/>
                <w:lang w:bidi="ar"/>
              </w:rPr>
              <w:t>最高限价</w:t>
            </w:r>
          </w:p>
          <w:p w14:paraId="1C1E274D">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bidi="ar"/>
              </w:rPr>
              <w:t>（元/年）</w:t>
            </w:r>
          </w:p>
        </w:tc>
        <w:tc>
          <w:tcPr>
            <w:tcW w:w="903" w:type="pct"/>
            <w:gridSpan w:val="2"/>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770D70C">
            <w:pPr>
              <w:keepNext w:val="0"/>
              <w:keepLines w:val="0"/>
              <w:pageBreakBefore w:val="0"/>
              <w:widowControl w:val="0"/>
              <w:suppressLineNumbers w:val="0"/>
              <w:tabs>
                <w:tab w:val="left" w:pos="210"/>
              </w:tabs>
              <w:kinsoku/>
              <w:wordWrap w:val="0"/>
              <w:overflowPunct/>
              <w:topLinePunct w:val="0"/>
              <w:autoSpaceDE w:val="0"/>
              <w:autoSpaceDN w:val="0"/>
              <w:bidi w:val="0"/>
              <w:jc w:val="center"/>
              <w:textAlignment w:val="center"/>
              <w:rPr>
                <w:rFonts w:hint="default" w:ascii="仿宋" w:hAnsi="仿宋" w:eastAsia="仿宋" w:cs="仿宋"/>
                <w:b/>
                <w:bCs/>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val="en-US" w:eastAsia="zh-CN" w:bidi="ar"/>
              </w:rPr>
              <w:t>保障责任及最低保额</w:t>
            </w:r>
          </w:p>
        </w:tc>
        <w:tc>
          <w:tcPr>
            <w:tcW w:w="506"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BF8722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bidi="ar"/>
              </w:rPr>
            </w:pPr>
            <w:r>
              <w:rPr>
                <w:rFonts w:hint="eastAsia" w:ascii="仿宋" w:hAnsi="仿宋" w:eastAsia="仿宋" w:cs="仿宋"/>
                <w:b/>
                <w:bCs/>
                <w:color w:val="auto"/>
                <w:kern w:val="0"/>
                <w:sz w:val="24"/>
                <w:szCs w:val="24"/>
                <w:highlight w:val="none"/>
                <w:u w:val="none"/>
                <w:shd w:val="clear" w:color="auto" w:fill="auto"/>
                <w:lang w:bidi="ar"/>
              </w:rPr>
              <w:t>响应报价</w:t>
            </w:r>
          </w:p>
          <w:p w14:paraId="79484070">
            <w:pPr>
              <w:keepNext w:val="0"/>
              <w:keepLines w:val="0"/>
              <w:pageBreakBefore w:val="0"/>
              <w:widowControl w:val="0"/>
              <w:suppressLineNumbers w:val="0"/>
              <w:tabs>
                <w:tab w:val="left" w:pos="210"/>
              </w:tabs>
              <w:kinsoku/>
              <w:wordWrap w:val="0"/>
              <w:overflowPunct/>
              <w:topLinePunct w:val="0"/>
              <w:autoSpaceDE w:val="0"/>
              <w:autoSpaceDN w:val="0"/>
              <w:bidi w:val="0"/>
              <w:jc w:val="center"/>
              <w:textAlignment w:val="center"/>
              <w:rPr>
                <w:rFonts w:hint="eastAsia" w:ascii="仿宋" w:hAnsi="仿宋" w:eastAsia="仿宋" w:cs="仿宋"/>
                <w:b/>
                <w:bCs/>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bidi="ar"/>
              </w:rPr>
              <w:t>（元/</w:t>
            </w:r>
            <w:r>
              <w:rPr>
                <w:rFonts w:hint="eastAsia" w:ascii="仿宋" w:hAnsi="仿宋" w:eastAsia="仿宋" w:cs="仿宋"/>
                <w:b/>
                <w:bCs/>
                <w:color w:val="auto"/>
                <w:kern w:val="0"/>
                <w:sz w:val="24"/>
                <w:szCs w:val="24"/>
                <w:highlight w:val="none"/>
                <w:u w:val="none"/>
                <w:shd w:val="clear" w:color="auto" w:fill="auto"/>
                <w:lang w:val="en-US" w:eastAsia="zh-CN" w:bidi="ar"/>
              </w:rPr>
              <w:t>人/年</w:t>
            </w:r>
            <w:r>
              <w:rPr>
                <w:rFonts w:hint="eastAsia" w:ascii="仿宋" w:hAnsi="仿宋" w:eastAsia="仿宋" w:cs="仿宋"/>
                <w:b/>
                <w:bCs/>
                <w:color w:val="auto"/>
                <w:kern w:val="0"/>
                <w:sz w:val="24"/>
                <w:szCs w:val="24"/>
                <w:highlight w:val="none"/>
                <w:u w:val="none"/>
                <w:shd w:val="clear" w:color="auto" w:fill="auto"/>
                <w:lang w:bidi="ar"/>
              </w:rPr>
              <w:t>）</w:t>
            </w: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EE82805">
            <w:pPr>
              <w:keepNext w:val="0"/>
              <w:keepLines w:val="0"/>
              <w:pageBreakBefore w:val="0"/>
              <w:widowControl w:val="0"/>
              <w:suppressLineNumbers w:val="0"/>
              <w:tabs>
                <w:tab w:val="left" w:pos="210"/>
              </w:tabs>
              <w:kinsoku/>
              <w:wordWrap w:val="0"/>
              <w:overflowPunct/>
              <w:topLinePunct w:val="0"/>
              <w:autoSpaceDE w:val="0"/>
              <w:autoSpaceDN w:val="0"/>
              <w:bidi w:val="0"/>
              <w:jc w:val="center"/>
              <w:textAlignment w:val="center"/>
              <w:rPr>
                <w:rFonts w:hint="eastAsia" w:ascii="仿宋" w:hAnsi="仿宋" w:eastAsia="仿宋" w:cs="仿宋"/>
                <w:b/>
                <w:bCs/>
                <w:i w:val="0"/>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val="en-US" w:eastAsia="zh-CN" w:bidi="ar"/>
              </w:rPr>
              <w:t>响应</w:t>
            </w:r>
            <w:r>
              <w:rPr>
                <w:rFonts w:hint="eastAsia" w:ascii="仿宋" w:hAnsi="仿宋" w:eastAsia="仿宋" w:cs="仿宋"/>
                <w:b/>
                <w:bCs/>
                <w:color w:val="auto"/>
                <w:kern w:val="0"/>
                <w:sz w:val="24"/>
                <w:szCs w:val="24"/>
                <w:highlight w:val="none"/>
                <w:u w:val="none"/>
                <w:shd w:val="clear" w:color="auto" w:fill="auto"/>
                <w:lang w:bidi="ar"/>
              </w:rPr>
              <w:t>保障项目保额（元）</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8C30987">
            <w:pPr>
              <w:keepNext w:val="0"/>
              <w:keepLines w:val="0"/>
              <w:pageBreakBefore w:val="0"/>
              <w:widowControl w:val="0"/>
              <w:suppressLineNumbers w:val="0"/>
              <w:tabs>
                <w:tab w:val="left" w:pos="210"/>
              </w:tabs>
              <w:kinsoku/>
              <w:wordWrap w:val="0"/>
              <w:overflowPunct/>
              <w:topLinePunct w:val="0"/>
              <w:autoSpaceDE w:val="0"/>
              <w:autoSpaceDN w:val="0"/>
              <w:bidi w:val="0"/>
              <w:jc w:val="center"/>
              <w:textAlignment w:val="center"/>
              <w:rPr>
                <w:rFonts w:hint="default" w:ascii="仿宋" w:hAnsi="仿宋" w:eastAsia="仿宋" w:cs="仿宋"/>
                <w:b/>
                <w:bCs/>
                <w:color w:val="auto"/>
                <w:kern w:val="0"/>
                <w:sz w:val="24"/>
                <w:szCs w:val="24"/>
                <w:highlight w:val="none"/>
                <w:u w:val="none"/>
                <w:shd w:val="clear" w:color="auto" w:fill="auto"/>
                <w:lang w:val="en-US" w:eastAsia="zh-CN" w:bidi="ar"/>
              </w:rPr>
            </w:pPr>
            <w:r>
              <w:rPr>
                <w:rFonts w:hint="eastAsia" w:ascii="仿宋" w:hAnsi="仿宋" w:eastAsia="仿宋" w:cs="仿宋"/>
                <w:b/>
                <w:bCs/>
                <w:color w:val="auto"/>
                <w:kern w:val="0"/>
                <w:sz w:val="24"/>
                <w:szCs w:val="24"/>
                <w:highlight w:val="none"/>
                <w:u w:val="none"/>
                <w:shd w:val="clear" w:color="auto" w:fill="auto"/>
                <w:lang w:val="en-US" w:eastAsia="zh-CN" w:bidi="ar"/>
              </w:rPr>
              <w:t>赔付标准</w:t>
            </w:r>
          </w:p>
        </w:tc>
        <w:tc>
          <w:tcPr>
            <w:tcW w:w="427"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A3210BE">
            <w:pPr>
              <w:keepNext w:val="0"/>
              <w:keepLines w:val="0"/>
              <w:pageBreakBefore w:val="0"/>
              <w:widowControl w:val="0"/>
              <w:suppressLineNumbers w:val="0"/>
              <w:tabs>
                <w:tab w:val="left" w:pos="210"/>
              </w:tabs>
              <w:kinsoku/>
              <w:wordWrap w:val="0"/>
              <w:overflowPunct/>
              <w:topLinePunct w:val="0"/>
              <w:autoSpaceDE w:val="0"/>
              <w:autoSpaceDN w:val="0"/>
              <w:bidi w:val="0"/>
              <w:jc w:val="center"/>
              <w:textAlignment w:val="center"/>
              <w:rPr>
                <w:rFonts w:hint="eastAsia" w:ascii="仿宋" w:hAnsi="仿宋" w:eastAsia="仿宋" w:cs="仿宋"/>
                <w:b/>
                <w:bCs/>
                <w:i w:val="0"/>
                <w:color w:val="auto"/>
                <w:kern w:val="0"/>
                <w:sz w:val="24"/>
                <w:szCs w:val="24"/>
                <w:highlight w:val="none"/>
                <w:u w:val="none"/>
                <w:shd w:val="clear" w:color="auto" w:fill="auto"/>
                <w:lang w:val="en-US" w:eastAsia="zh-CN" w:bidi="ar"/>
              </w:rPr>
            </w:pPr>
            <w:r>
              <w:rPr>
                <w:rFonts w:hint="eastAsia" w:ascii="仿宋" w:hAnsi="仿宋" w:eastAsia="仿宋" w:cs="仿宋"/>
                <w:b/>
                <w:bCs/>
                <w:i w:val="0"/>
                <w:color w:val="auto"/>
                <w:kern w:val="0"/>
                <w:sz w:val="24"/>
                <w:szCs w:val="24"/>
                <w:highlight w:val="none"/>
                <w:u w:val="none"/>
                <w:shd w:val="clear" w:color="auto" w:fill="auto"/>
                <w:lang w:val="en-US" w:eastAsia="zh-CN" w:bidi="ar"/>
              </w:rPr>
              <w:t>备注</w:t>
            </w:r>
          </w:p>
          <w:p w14:paraId="5C752333">
            <w:pPr>
              <w:keepNext w:val="0"/>
              <w:keepLines w:val="0"/>
              <w:pageBreakBefore w:val="0"/>
              <w:widowControl w:val="0"/>
              <w:suppressLineNumbers w:val="0"/>
              <w:tabs>
                <w:tab w:val="left" w:pos="210"/>
              </w:tabs>
              <w:kinsoku/>
              <w:wordWrap w:val="0"/>
              <w:overflowPunct/>
              <w:topLinePunct w:val="0"/>
              <w:autoSpaceDE w:val="0"/>
              <w:autoSpaceDN w:val="0"/>
              <w:bidi w:val="0"/>
              <w:jc w:val="center"/>
              <w:textAlignment w:val="center"/>
              <w:rPr>
                <w:rFonts w:hint="default" w:ascii="仿宋" w:hAnsi="仿宋" w:eastAsia="仿宋" w:cs="仿宋"/>
                <w:b/>
                <w:bCs/>
                <w:i w:val="0"/>
                <w:color w:val="auto"/>
                <w:kern w:val="0"/>
                <w:sz w:val="24"/>
                <w:szCs w:val="24"/>
                <w:highlight w:val="none"/>
                <w:u w:val="none"/>
                <w:shd w:val="clear" w:color="auto" w:fill="auto"/>
                <w:lang w:val="en-US" w:eastAsia="zh-CN" w:bidi="ar"/>
              </w:rPr>
            </w:pPr>
            <w:r>
              <w:rPr>
                <w:rFonts w:hint="eastAsia" w:ascii="仿宋" w:hAnsi="仿宋" w:eastAsia="仿宋" w:cs="仿宋"/>
                <w:b/>
                <w:bCs/>
                <w:i w:val="0"/>
                <w:color w:val="auto"/>
                <w:kern w:val="0"/>
                <w:sz w:val="18"/>
                <w:szCs w:val="18"/>
                <w:highlight w:val="none"/>
                <w:u w:val="none"/>
                <w:shd w:val="clear" w:color="auto" w:fill="auto"/>
                <w:lang w:val="en-US" w:eastAsia="zh-CN" w:bidi="ar"/>
              </w:rPr>
              <w:t>（如观察期等说明情况）</w:t>
            </w:r>
          </w:p>
        </w:tc>
      </w:tr>
      <w:tr w14:paraId="3DF50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0" w:type="dxa"/>
            <w:bottom w:w="0" w:type="dxa"/>
            <w:right w:w="0" w:type="dxa"/>
          </w:tblCellMar>
        </w:tblPrEx>
        <w:trPr>
          <w:trHeight w:val="672" w:hRule="atLeast"/>
        </w:trPr>
        <w:tc>
          <w:tcPr>
            <w:tcW w:w="329"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4CA88523">
            <w:pPr>
              <w:pStyle w:val="7"/>
              <w:pageBreakBefore w:val="0"/>
              <w:widowControl w:val="0"/>
              <w:kinsoku/>
              <w:wordWrap w:val="0"/>
              <w:overflowPunct/>
              <w:topLinePunct w:val="0"/>
              <w:autoSpaceDE w:val="0"/>
              <w:autoSpaceDN w:val="0"/>
              <w:bidi w:val="0"/>
              <w:spacing w:after="0"/>
              <w:jc w:val="center"/>
              <w:rPr>
                <w:rFonts w:hint="eastAsia" w:ascii="仿宋" w:hAnsi="仿宋" w:eastAsia="仿宋" w:cs="仿宋"/>
                <w:b/>
                <w:bCs/>
                <w:i w:val="0"/>
                <w:color w:val="auto"/>
                <w:kern w:val="0"/>
                <w:sz w:val="24"/>
                <w:szCs w:val="24"/>
                <w:highlight w:val="none"/>
                <w:u w:val="none"/>
                <w:shd w:val="clear" w:color="auto" w:fill="auto"/>
                <w:lang w:val="en-US" w:eastAsia="zh-CN" w:bidi="ar"/>
              </w:rPr>
            </w:pPr>
          </w:p>
          <w:p w14:paraId="16642CCA">
            <w:pPr>
              <w:pStyle w:val="7"/>
              <w:jc w:val="center"/>
              <w:rPr>
                <w:rFonts w:hint="eastAsia" w:ascii="仿宋" w:hAnsi="仿宋" w:eastAsia="仿宋" w:cs="仿宋"/>
                <w:b/>
                <w:bCs/>
                <w:i w:val="0"/>
                <w:color w:val="auto"/>
                <w:sz w:val="24"/>
                <w:szCs w:val="24"/>
                <w:highlight w:val="none"/>
                <w:u w:val="none"/>
              </w:rPr>
            </w:pPr>
            <w:r>
              <w:rPr>
                <w:rFonts w:hint="eastAsia" w:ascii="仿宋" w:hAnsi="仿宋" w:eastAsia="仿宋" w:cs="仿宋"/>
                <w:b/>
                <w:bCs/>
                <w:i w:val="0"/>
                <w:color w:val="auto"/>
                <w:kern w:val="0"/>
                <w:sz w:val="24"/>
                <w:szCs w:val="24"/>
                <w:highlight w:val="none"/>
                <w:u w:val="none"/>
                <w:shd w:val="clear" w:color="auto" w:fill="auto"/>
                <w:lang w:val="en-US" w:eastAsia="zh-CN" w:bidi="ar"/>
              </w:rPr>
              <w:t>2026-2028年职工补充医疗保险遴选项目（第二次）</w:t>
            </w:r>
          </w:p>
        </w:tc>
        <w:tc>
          <w:tcPr>
            <w:tcW w:w="210"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7FE39C12">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sz w:val="24"/>
                <w:szCs w:val="24"/>
                <w:highlight w:val="none"/>
                <w:u w:val="none"/>
              </w:rPr>
            </w:pPr>
          </w:p>
          <w:p w14:paraId="62D1CDBC">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b/>
                <w:bCs/>
                <w:i w:val="0"/>
                <w:color w:val="auto"/>
                <w:sz w:val="24"/>
                <w:szCs w:val="24"/>
                <w:highlight w:val="none"/>
                <w:u w:val="none"/>
                <w:lang w:val="en-US" w:eastAsia="zh-CN"/>
              </w:rPr>
            </w:pPr>
            <w:r>
              <w:rPr>
                <w:rFonts w:hint="eastAsia" w:ascii="仿宋" w:hAnsi="仿宋" w:eastAsia="仿宋" w:cs="仿宋"/>
                <w:b/>
                <w:bCs/>
                <w:color w:val="auto"/>
                <w:sz w:val="24"/>
                <w:szCs w:val="24"/>
                <w:highlight w:val="none"/>
                <w:u w:val="none"/>
              </w:rPr>
              <w:t>补充医疗保险</w:t>
            </w:r>
          </w:p>
        </w:tc>
        <w:tc>
          <w:tcPr>
            <w:tcW w:w="195"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5107A63">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color w:val="auto"/>
                <w:sz w:val="24"/>
                <w:szCs w:val="24"/>
                <w:highlight w:val="none"/>
                <w:u w:val="none"/>
                <w:lang w:val="en-US" w:eastAsia="zh-CN"/>
              </w:rPr>
            </w:pPr>
          </w:p>
          <w:p w14:paraId="2488B831">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color w:val="auto"/>
                <w:sz w:val="24"/>
                <w:szCs w:val="24"/>
                <w:highlight w:val="none"/>
                <w:u w:val="none"/>
                <w:lang w:val="en-US" w:eastAsia="zh-CN"/>
              </w:rPr>
            </w:pPr>
            <w:r>
              <w:rPr>
                <w:rFonts w:hint="eastAsia" w:ascii="仿宋" w:hAnsi="仿宋" w:eastAsia="仿宋" w:cs="仿宋"/>
                <w:b/>
                <w:bCs/>
                <w:i w:val="0"/>
                <w:color w:val="auto"/>
                <w:sz w:val="24"/>
                <w:szCs w:val="24"/>
                <w:highlight w:val="none"/>
                <w:u w:val="none"/>
                <w:lang w:val="en-US" w:eastAsia="zh-CN"/>
              </w:rPr>
              <w:t>在职职工</w:t>
            </w:r>
          </w:p>
        </w:tc>
        <w:tc>
          <w:tcPr>
            <w:tcW w:w="298"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1BC6E6A">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val="en-US" w:eastAsia="zh-CN" w:bidi="ar"/>
              </w:rPr>
              <w:t>220人</w:t>
            </w:r>
          </w:p>
        </w:tc>
        <w:tc>
          <w:tcPr>
            <w:tcW w:w="359"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2F36F9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u w:val="none"/>
                <w:lang w:bidi="ar"/>
              </w:rPr>
              <w:t>270元/人</w:t>
            </w:r>
          </w:p>
        </w:tc>
        <w:tc>
          <w:tcPr>
            <w:tcW w:w="383"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F5BD30F">
            <w:pPr>
              <w:keepNext w:val="0"/>
              <w:keepLines w:val="0"/>
              <w:widowControl/>
              <w:suppressLineNumbers w:val="0"/>
              <w:jc w:val="center"/>
              <w:textAlignment w:val="center"/>
              <w:rPr>
                <w:rFonts w:hint="default" w:ascii="仿宋" w:hAnsi="仿宋" w:eastAsia="仿宋" w:cs="仿宋"/>
                <w:i/>
                <w:iCs/>
                <w:color w:val="auto"/>
                <w:kern w:val="2"/>
                <w:sz w:val="24"/>
                <w:szCs w:val="24"/>
                <w:highlight w:val="none"/>
                <w:u w:val="none"/>
                <w:lang w:val="en-US" w:eastAsia="zh-CN" w:bidi="ar-SA"/>
              </w:rPr>
            </w:pPr>
            <w:r>
              <w:rPr>
                <w:rFonts w:hint="eastAsia" w:ascii="仿宋" w:hAnsi="仿宋" w:eastAsia="仿宋" w:cs="仿宋"/>
                <w:i w:val="0"/>
                <w:iCs w:val="0"/>
                <w:color w:val="auto"/>
                <w:kern w:val="2"/>
                <w:sz w:val="24"/>
                <w:szCs w:val="24"/>
                <w:highlight w:val="none"/>
                <w:u w:val="none"/>
                <w:lang w:val="en-US" w:eastAsia="zh-CN" w:bidi="ar-SA"/>
              </w:rPr>
              <w:t>59400</w:t>
            </w:r>
          </w:p>
        </w:tc>
        <w:tc>
          <w:tcPr>
            <w:tcW w:w="175"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EBD7F0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iCs w:val="0"/>
                <w:color w:val="auto"/>
                <w:kern w:val="0"/>
                <w:sz w:val="18"/>
                <w:szCs w:val="18"/>
                <w:highlight w:val="none"/>
                <w:u w:val="none"/>
                <w:lang w:val="en-US" w:eastAsia="zh-CN" w:bidi="ar"/>
              </w:rPr>
            </w:pPr>
            <w:r>
              <w:rPr>
                <w:rFonts w:hint="eastAsia" w:ascii="仿宋" w:hAnsi="仿宋" w:eastAsia="仿宋" w:cs="仿宋"/>
                <w:b/>
                <w:bCs/>
                <w:i w:val="0"/>
                <w:iCs w:val="0"/>
                <w:color w:val="auto"/>
                <w:kern w:val="0"/>
                <w:sz w:val="18"/>
                <w:szCs w:val="18"/>
                <w:highlight w:val="none"/>
                <w:u w:val="none"/>
                <w:lang w:bidi="ar"/>
              </w:rPr>
              <w:t>重大疾病</w:t>
            </w: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AE3F03B">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重大疾病保障（≥10种）;</w:t>
            </w:r>
          </w:p>
          <w:p w14:paraId="7B9FD105">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最低保额：1.8万元</w:t>
            </w:r>
          </w:p>
        </w:tc>
        <w:tc>
          <w:tcPr>
            <w:tcW w:w="506"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C15B712">
            <w:pPr>
              <w:keepNext w:val="0"/>
              <w:keepLines w:val="0"/>
              <w:widowControl/>
              <w:suppressLineNumbers w:val="0"/>
              <w:jc w:val="center"/>
              <w:textAlignment w:val="center"/>
              <w:rPr>
                <w:rFonts w:hint="eastAsia" w:ascii="仿宋" w:hAnsi="仿宋" w:eastAsia="仿宋" w:cs="仿宋"/>
                <w:i/>
                <w:iCs/>
                <w:color w:val="auto"/>
                <w:sz w:val="15"/>
                <w:szCs w:val="15"/>
                <w:highlight w:val="none"/>
                <w:u w:val="none"/>
              </w:rPr>
            </w:pPr>
            <w:r>
              <w:rPr>
                <w:rFonts w:hint="eastAsia" w:ascii="仿宋" w:hAnsi="仿宋" w:eastAsia="仿宋" w:cs="仿宋"/>
                <w:i/>
                <w:iCs/>
                <w:color w:val="auto"/>
                <w:sz w:val="15"/>
                <w:szCs w:val="15"/>
                <w:highlight w:val="none"/>
                <w:u w:val="none"/>
              </w:rPr>
              <w:t>｛遴选申请人响应｝</w:t>
            </w:r>
          </w:p>
          <w:p w14:paraId="4017A222">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5"/>
                <w:szCs w:val="15"/>
                <w:highlight w:val="none"/>
                <w:u w:val="none"/>
                <w:lang w:val="en-US" w:eastAsia="zh-CN" w:bidi="ar-SA"/>
              </w:rPr>
            </w:pPr>
            <w:r>
              <w:rPr>
                <w:rFonts w:hint="eastAsia" w:ascii="仿宋" w:hAnsi="仿宋" w:eastAsia="仿宋" w:cs="仿宋"/>
                <w:i/>
                <w:iCs/>
                <w:color w:val="auto"/>
                <w:sz w:val="15"/>
                <w:szCs w:val="15"/>
                <w:highlight w:val="none"/>
                <w:u w:val="none"/>
              </w:rPr>
              <w:t>（元/人/年）</w:t>
            </w: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09B24DC">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008741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648B00BE">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r>
      <w:tr w14:paraId="270DE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5F20BC7D">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7EFDE2DF">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FB442AF">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298"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858C7BB">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359"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BEAD3DC">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383"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5E6828F">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175"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820621C">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iCs w:val="0"/>
                <w:color w:val="auto"/>
                <w:sz w:val="18"/>
                <w:szCs w:val="18"/>
                <w:highlight w:val="none"/>
                <w:lang w:val="en-US" w:eastAsia="zh-CN"/>
              </w:rPr>
            </w:pPr>
            <w:r>
              <w:rPr>
                <w:rFonts w:hint="eastAsia" w:ascii="仿宋" w:hAnsi="仿宋" w:eastAsia="仿宋" w:cs="仿宋"/>
                <w:b/>
                <w:bCs/>
                <w:i w:val="0"/>
                <w:iCs w:val="0"/>
                <w:color w:val="auto"/>
                <w:kern w:val="0"/>
                <w:sz w:val="18"/>
                <w:szCs w:val="18"/>
                <w:highlight w:val="none"/>
                <w:u w:val="none"/>
                <w:lang w:bidi="ar"/>
              </w:rPr>
              <w:t>意外保障</w:t>
            </w: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3887261">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意外</w:t>
            </w:r>
            <w:r>
              <w:rPr>
                <w:rFonts w:hint="eastAsia" w:ascii="仿宋" w:hAnsi="仿宋" w:eastAsia="仿宋" w:cs="仿宋"/>
                <w:b/>
                <w:bCs/>
                <w:i w:val="0"/>
                <w:iCs w:val="0"/>
                <w:color w:val="auto"/>
                <w:kern w:val="2"/>
                <w:sz w:val="18"/>
                <w:szCs w:val="18"/>
                <w:highlight w:val="none"/>
                <w:u w:val="none"/>
                <w:lang w:val="en-US" w:eastAsia="zh-CN" w:bidi="ar-SA"/>
              </w:rPr>
              <w:t>身故/伤残</w:t>
            </w:r>
            <w:r>
              <w:rPr>
                <w:rFonts w:hint="eastAsia" w:ascii="仿宋" w:hAnsi="仿宋" w:eastAsia="仿宋" w:cs="仿宋"/>
                <w:i w:val="0"/>
                <w:iCs w:val="0"/>
                <w:color w:val="auto"/>
                <w:kern w:val="2"/>
                <w:sz w:val="18"/>
                <w:szCs w:val="18"/>
                <w:highlight w:val="none"/>
                <w:u w:val="none"/>
                <w:lang w:val="en-US" w:eastAsia="zh-CN" w:bidi="ar-SA"/>
              </w:rPr>
              <w:t>保障；</w:t>
            </w:r>
          </w:p>
          <w:p w14:paraId="50BC1E98">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最低保额：8万元</w:t>
            </w:r>
          </w:p>
        </w:tc>
        <w:tc>
          <w:tcPr>
            <w:tcW w:w="506"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B2D891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5"/>
                <w:szCs w:val="15"/>
                <w:highlight w:val="none"/>
                <w:u w:val="none"/>
                <w:lang w:val="en-US" w:eastAsia="zh-CN" w:bidi="ar-SA"/>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C54774E">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sz w:val="15"/>
                <w:szCs w:val="15"/>
                <w:highlight w:val="none"/>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62EA9D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Times New Roman" w:hAnsi="Times New Roman" w:eastAsia="宋体" w:cs="Times New Roman"/>
                <w:color w:val="auto"/>
                <w:kern w:val="2"/>
                <w:sz w:val="15"/>
                <w:szCs w:val="15"/>
                <w:highlight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4CA6DEA1">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sz w:val="15"/>
                <w:szCs w:val="15"/>
                <w:highlight w:val="none"/>
              </w:rPr>
            </w:pPr>
          </w:p>
        </w:tc>
      </w:tr>
      <w:tr w14:paraId="34E5F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5C925AE1">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3A9935D1">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515561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298"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C3D185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359"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EA35B9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383"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23CCA4B">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175"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E0FDD0F">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iCs w:val="0"/>
                <w:color w:val="auto"/>
                <w:sz w:val="18"/>
                <w:szCs w:val="18"/>
                <w:highlight w:val="none"/>
              </w:rPr>
            </w:pP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FC2C1AA">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意外住院医疗保障；</w:t>
            </w:r>
          </w:p>
          <w:p w14:paraId="2B3E15D2">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最低保额：1万元</w:t>
            </w:r>
          </w:p>
        </w:tc>
        <w:tc>
          <w:tcPr>
            <w:tcW w:w="506"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487BC6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5"/>
                <w:szCs w:val="15"/>
                <w:highlight w:val="none"/>
                <w:u w:val="none"/>
                <w:lang w:val="en-US" w:eastAsia="zh-CN" w:bidi="ar-SA"/>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6689A85">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sz w:val="15"/>
                <w:szCs w:val="15"/>
                <w:highlight w:val="none"/>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53B5B78">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Times New Roman" w:hAnsi="Times New Roman" w:eastAsia="宋体" w:cs="Times New Roman"/>
                <w:color w:val="auto"/>
                <w:kern w:val="2"/>
                <w:sz w:val="15"/>
                <w:szCs w:val="15"/>
                <w:highlight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4B5375AA">
            <w:pPr>
              <w:keepNext w:val="0"/>
              <w:keepLines w:val="0"/>
              <w:pageBreakBefore w:val="0"/>
              <w:widowControl w:val="0"/>
              <w:suppressLineNumbers w:val="0"/>
              <w:kinsoku/>
              <w:wordWrap w:val="0"/>
              <w:overflowPunct/>
              <w:topLinePunct w:val="0"/>
              <w:autoSpaceDE w:val="0"/>
              <w:autoSpaceDN w:val="0"/>
              <w:bidi w:val="0"/>
              <w:jc w:val="center"/>
              <w:textAlignment w:val="center"/>
              <w:rPr>
                <w:rFonts w:ascii="Times New Roman" w:hAnsi="Times New Roman" w:eastAsia="宋体" w:cs="Times New Roman"/>
                <w:color w:val="auto"/>
                <w:kern w:val="2"/>
                <w:sz w:val="15"/>
                <w:szCs w:val="15"/>
                <w:highlight w:val="none"/>
                <w:lang w:val="en-US" w:eastAsia="zh-CN" w:bidi="ar-SA"/>
              </w:rPr>
            </w:pPr>
          </w:p>
        </w:tc>
      </w:tr>
      <w:tr w14:paraId="58759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42171BB6">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586D5C5F">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1C610E3">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298"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926A43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359"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263E9B1">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383"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0EBBBA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175" w:type="pct"/>
            <w:vMerge w:val="restar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0090BB1">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iCs w:val="0"/>
                <w:color w:val="auto"/>
                <w:kern w:val="0"/>
                <w:sz w:val="18"/>
                <w:szCs w:val="18"/>
                <w:highlight w:val="none"/>
                <w:u w:val="none"/>
                <w:lang w:bidi="ar"/>
              </w:rPr>
            </w:pPr>
            <w:r>
              <w:rPr>
                <w:rFonts w:hint="eastAsia" w:ascii="仿宋" w:hAnsi="仿宋" w:eastAsia="仿宋" w:cs="仿宋"/>
                <w:b/>
                <w:bCs/>
                <w:i w:val="0"/>
                <w:iCs w:val="0"/>
                <w:color w:val="auto"/>
                <w:kern w:val="0"/>
                <w:sz w:val="18"/>
                <w:szCs w:val="18"/>
                <w:highlight w:val="none"/>
                <w:u w:val="none"/>
                <w:lang w:bidi="ar"/>
              </w:rPr>
              <w:t>住院津贴</w:t>
            </w: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C6375F1">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b/>
                <w:bCs/>
                <w:i w:val="0"/>
                <w:iCs w:val="0"/>
                <w:color w:val="auto"/>
                <w:kern w:val="2"/>
                <w:sz w:val="18"/>
                <w:szCs w:val="18"/>
                <w:highlight w:val="none"/>
                <w:u w:val="none"/>
                <w:lang w:val="en-US" w:eastAsia="zh-CN" w:bidi="ar-SA"/>
              </w:rPr>
              <w:t>疾病</w:t>
            </w:r>
            <w:r>
              <w:rPr>
                <w:rFonts w:hint="eastAsia" w:ascii="仿宋" w:hAnsi="仿宋" w:eastAsia="仿宋" w:cs="仿宋"/>
                <w:i w:val="0"/>
                <w:iCs w:val="0"/>
                <w:color w:val="auto"/>
                <w:kern w:val="2"/>
                <w:sz w:val="18"/>
                <w:szCs w:val="18"/>
                <w:highlight w:val="none"/>
                <w:u w:val="none"/>
                <w:lang w:val="en-US" w:eastAsia="zh-CN" w:bidi="ar-SA"/>
              </w:rPr>
              <w:t>住院补贴；</w:t>
            </w:r>
          </w:p>
          <w:p w14:paraId="00627F48">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最低保障：50元/天</w:t>
            </w:r>
          </w:p>
        </w:tc>
        <w:tc>
          <w:tcPr>
            <w:tcW w:w="506"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B65F4AE">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5"/>
                <w:szCs w:val="15"/>
                <w:highlight w:val="none"/>
                <w:u w:val="none"/>
                <w:lang w:val="en-US" w:eastAsia="zh-CN" w:bidi="ar-SA"/>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C56A11C">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22CDC1F">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6BDF4A7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sz w:val="15"/>
                <w:szCs w:val="15"/>
                <w:highlight w:val="none"/>
              </w:rPr>
            </w:pPr>
          </w:p>
        </w:tc>
      </w:tr>
      <w:tr w14:paraId="79898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4F618314">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789854A1">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34ABA8B">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298"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D142A7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359"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4C4102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383"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1557DDE">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p>
        </w:tc>
        <w:tc>
          <w:tcPr>
            <w:tcW w:w="175"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767969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i w:val="0"/>
                <w:iCs w:val="0"/>
                <w:color w:val="auto"/>
                <w:kern w:val="0"/>
                <w:sz w:val="18"/>
                <w:szCs w:val="18"/>
                <w:highlight w:val="none"/>
                <w:u w:val="none"/>
                <w:lang w:bidi="ar"/>
              </w:rPr>
            </w:pP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B5421D2">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b/>
                <w:bCs/>
                <w:i w:val="0"/>
                <w:iCs w:val="0"/>
                <w:color w:val="auto"/>
                <w:kern w:val="2"/>
                <w:sz w:val="18"/>
                <w:szCs w:val="18"/>
                <w:highlight w:val="none"/>
                <w:u w:val="none"/>
                <w:lang w:val="en-US" w:eastAsia="zh-CN" w:bidi="ar-SA"/>
              </w:rPr>
              <w:t>意外</w:t>
            </w:r>
            <w:r>
              <w:rPr>
                <w:rFonts w:hint="eastAsia" w:ascii="仿宋" w:hAnsi="仿宋" w:eastAsia="仿宋" w:cs="仿宋"/>
                <w:i w:val="0"/>
                <w:iCs w:val="0"/>
                <w:color w:val="auto"/>
                <w:kern w:val="2"/>
                <w:sz w:val="18"/>
                <w:szCs w:val="18"/>
                <w:highlight w:val="none"/>
                <w:u w:val="none"/>
                <w:lang w:val="en-US" w:eastAsia="zh-CN" w:bidi="ar-SA"/>
              </w:rPr>
              <w:t>住院补贴；</w:t>
            </w:r>
          </w:p>
          <w:p w14:paraId="7FE8F11C">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最低保障：50元/天</w:t>
            </w:r>
          </w:p>
        </w:tc>
        <w:tc>
          <w:tcPr>
            <w:tcW w:w="506" w:type="pct"/>
            <w:vMerge w:val="continue"/>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A6E32DE">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5"/>
                <w:szCs w:val="15"/>
                <w:highlight w:val="none"/>
                <w:u w:val="none"/>
                <w:lang w:val="en-US" w:eastAsia="zh-CN" w:bidi="ar-SA"/>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B937A0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3EB3FF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7E0997D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sz w:val="15"/>
                <w:szCs w:val="15"/>
                <w:highlight w:val="none"/>
              </w:rPr>
            </w:pPr>
          </w:p>
        </w:tc>
      </w:tr>
      <w:tr w14:paraId="6B5CA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28F374A2">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320F7418">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34E9AED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单独个人</w:t>
            </w:r>
          </w:p>
        </w:tc>
        <w:tc>
          <w:tcPr>
            <w:tcW w:w="298"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0FB4714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10人</w:t>
            </w:r>
          </w:p>
        </w:tc>
        <w:tc>
          <w:tcPr>
            <w:tcW w:w="359"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4A81851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120元/人</w:t>
            </w:r>
          </w:p>
          <w:p w14:paraId="5D806044">
            <w:pPr>
              <w:rPr>
                <w:rFonts w:hint="eastAsia" w:ascii="仿宋" w:hAnsi="仿宋" w:eastAsia="仿宋" w:cs="仿宋"/>
                <w:color w:val="auto"/>
                <w:sz w:val="24"/>
                <w:szCs w:val="24"/>
                <w:highlight w:val="none"/>
              </w:rPr>
            </w:pPr>
          </w:p>
        </w:tc>
        <w:tc>
          <w:tcPr>
            <w:tcW w:w="383"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59F0D424">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1200</w:t>
            </w:r>
          </w:p>
        </w:tc>
        <w:tc>
          <w:tcPr>
            <w:tcW w:w="175"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3037505C">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18"/>
                <w:szCs w:val="18"/>
                <w:highlight w:val="none"/>
                <w:u w:val="none"/>
                <w:lang w:bidi="ar"/>
              </w:rPr>
            </w:pPr>
            <w:r>
              <w:rPr>
                <w:rFonts w:hint="eastAsia" w:ascii="仿宋" w:hAnsi="仿宋" w:eastAsia="仿宋" w:cs="仿宋"/>
                <w:b/>
                <w:bCs/>
                <w:i w:val="0"/>
                <w:iCs w:val="0"/>
                <w:color w:val="auto"/>
                <w:kern w:val="0"/>
                <w:sz w:val="18"/>
                <w:szCs w:val="18"/>
                <w:highlight w:val="none"/>
                <w:u w:val="none"/>
                <w:lang w:bidi="ar"/>
              </w:rPr>
              <w:t>意外保障</w:t>
            </w: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A365D8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意外</w:t>
            </w:r>
            <w:r>
              <w:rPr>
                <w:rFonts w:hint="eastAsia" w:ascii="仿宋" w:hAnsi="仿宋" w:eastAsia="仿宋" w:cs="仿宋"/>
                <w:b/>
                <w:bCs/>
                <w:i w:val="0"/>
                <w:iCs w:val="0"/>
                <w:color w:val="auto"/>
                <w:kern w:val="2"/>
                <w:sz w:val="18"/>
                <w:szCs w:val="18"/>
                <w:highlight w:val="none"/>
                <w:u w:val="none"/>
                <w:lang w:val="en-US" w:eastAsia="zh-CN" w:bidi="ar-SA"/>
              </w:rPr>
              <w:t>身故/伤残</w:t>
            </w:r>
            <w:r>
              <w:rPr>
                <w:rFonts w:hint="eastAsia" w:ascii="仿宋" w:hAnsi="仿宋" w:eastAsia="仿宋" w:cs="仿宋"/>
                <w:i w:val="0"/>
                <w:iCs w:val="0"/>
                <w:color w:val="auto"/>
                <w:kern w:val="2"/>
                <w:sz w:val="18"/>
                <w:szCs w:val="18"/>
                <w:highlight w:val="none"/>
                <w:u w:val="none"/>
                <w:lang w:val="en-US" w:eastAsia="zh-CN" w:bidi="ar-SA"/>
              </w:rPr>
              <w:t>保障；</w:t>
            </w:r>
          </w:p>
          <w:p w14:paraId="2E880100">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最低保额：10万元</w:t>
            </w:r>
          </w:p>
        </w:tc>
        <w:tc>
          <w:tcPr>
            <w:tcW w:w="506"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64E44A51">
            <w:pPr>
              <w:keepNext w:val="0"/>
              <w:keepLines w:val="0"/>
              <w:widowControl/>
              <w:suppressLineNumbers w:val="0"/>
              <w:jc w:val="center"/>
              <w:textAlignment w:val="center"/>
              <w:rPr>
                <w:rFonts w:hint="eastAsia" w:ascii="仿宋" w:hAnsi="仿宋" w:eastAsia="仿宋" w:cs="仿宋"/>
                <w:i/>
                <w:iCs/>
                <w:color w:val="auto"/>
                <w:sz w:val="15"/>
                <w:szCs w:val="15"/>
                <w:highlight w:val="none"/>
                <w:u w:val="none"/>
              </w:rPr>
            </w:pPr>
            <w:r>
              <w:rPr>
                <w:rFonts w:hint="eastAsia" w:ascii="仿宋" w:hAnsi="仿宋" w:eastAsia="仿宋" w:cs="仿宋"/>
                <w:i/>
                <w:iCs/>
                <w:color w:val="auto"/>
                <w:sz w:val="15"/>
                <w:szCs w:val="15"/>
                <w:highlight w:val="none"/>
                <w:u w:val="none"/>
              </w:rPr>
              <w:t>｛遴选申请人响应｝</w:t>
            </w:r>
          </w:p>
          <w:p w14:paraId="34F8C5BE">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仿宋" w:hAnsi="仿宋" w:eastAsia="仿宋" w:cs="仿宋"/>
                <w:i/>
                <w:iCs/>
                <w:color w:val="auto"/>
                <w:sz w:val="15"/>
                <w:szCs w:val="15"/>
                <w:highlight w:val="none"/>
                <w:u w:val="none"/>
              </w:rPr>
              <w:t>（元/人/年）</w:t>
            </w: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ED78043">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64BD906">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26E8FD57">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sz w:val="15"/>
                <w:szCs w:val="15"/>
                <w:highlight w:val="none"/>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r>
      <w:tr w14:paraId="4F7EE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08E86E40">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6508A5BC">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1B040552">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b/>
                <w:bCs/>
                <w:color w:val="auto"/>
                <w:highlight w:val="none"/>
              </w:rPr>
            </w:pPr>
          </w:p>
        </w:tc>
        <w:tc>
          <w:tcPr>
            <w:tcW w:w="298"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15294E93">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color w:val="auto"/>
                <w:highlight w:val="none"/>
                <w:lang w:val="en-US" w:eastAsia="zh-CN"/>
              </w:rPr>
            </w:pPr>
          </w:p>
        </w:tc>
        <w:tc>
          <w:tcPr>
            <w:tcW w:w="35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5A8AE019">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color w:val="auto"/>
                <w:highlight w:val="none"/>
                <w:lang w:val="en-US" w:eastAsia="zh-CN"/>
              </w:rPr>
            </w:pPr>
          </w:p>
        </w:tc>
        <w:tc>
          <w:tcPr>
            <w:tcW w:w="383"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2381B86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75"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A48443A">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18"/>
                <w:szCs w:val="18"/>
                <w:highlight w:val="none"/>
                <w:u w:val="none"/>
                <w:lang w:bidi="ar"/>
              </w:rPr>
            </w:pP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1BD6CD6">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意外住院医疗保障；</w:t>
            </w:r>
          </w:p>
          <w:p w14:paraId="352CB8D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最低保额：1万元</w:t>
            </w:r>
          </w:p>
        </w:tc>
        <w:tc>
          <w:tcPr>
            <w:tcW w:w="506"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0D309231">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iCs/>
                <w:color w:val="auto"/>
                <w:sz w:val="15"/>
                <w:szCs w:val="15"/>
                <w:highlight w:val="none"/>
                <w:u w:val="none"/>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60E7C9C">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609AA24">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1EA9589C">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r>
      <w:tr w14:paraId="78973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0" w:type="dxa"/>
            <w:bottom w:w="0" w:type="dxa"/>
            <w:right w:w="0" w:type="dxa"/>
          </w:tblCellMar>
        </w:tblPrEx>
        <w:trPr>
          <w:trHeight w:val="90" w:hRule="atLeast"/>
        </w:trPr>
        <w:tc>
          <w:tcPr>
            <w:tcW w:w="32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189FCC04">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01E819CB">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3827EB74">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b/>
                <w:bCs/>
                <w:color w:val="auto"/>
                <w:highlight w:val="none"/>
              </w:rPr>
            </w:pPr>
          </w:p>
        </w:tc>
        <w:tc>
          <w:tcPr>
            <w:tcW w:w="298"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0D70B3D7">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color w:val="auto"/>
                <w:highlight w:val="none"/>
                <w:lang w:val="en-US" w:eastAsia="zh-CN"/>
              </w:rPr>
            </w:pPr>
          </w:p>
        </w:tc>
        <w:tc>
          <w:tcPr>
            <w:tcW w:w="359"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4EA707FE">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color w:val="auto"/>
                <w:highlight w:val="none"/>
                <w:lang w:val="en-US" w:eastAsia="zh-CN"/>
              </w:rPr>
            </w:pPr>
          </w:p>
        </w:tc>
        <w:tc>
          <w:tcPr>
            <w:tcW w:w="383"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2588836F">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75" w:type="pct"/>
            <w:vMerge w:val="restart"/>
            <w:tcBorders>
              <w:top w:val="single" w:color="auto" w:sz="4" w:space="0"/>
              <w:left w:val="single" w:color="auto" w:sz="4" w:space="0"/>
              <w:right w:val="single" w:color="auto" w:sz="4" w:space="0"/>
            </w:tcBorders>
            <w:shd w:val="clear" w:color="auto" w:fill="FFFFFF" w:themeFill="background1"/>
            <w:tcMar>
              <w:top w:w="15" w:type="dxa"/>
              <w:left w:w="15" w:type="dxa"/>
              <w:right w:w="15" w:type="dxa"/>
            </w:tcMar>
            <w:vAlign w:val="center"/>
          </w:tcPr>
          <w:p w14:paraId="507509CB">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b/>
                <w:bCs/>
                <w:color w:val="auto"/>
                <w:kern w:val="0"/>
                <w:sz w:val="18"/>
                <w:szCs w:val="18"/>
                <w:highlight w:val="none"/>
                <w:u w:val="none"/>
                <w:lang w:bidi="ar"/>
              </w:rPr>
            </w:pPr>
            <w:r>
              <w:rPr>
                <w:rFonts w:hint="eastAsia" w:ascii="仿宋" w:hAnsi="仿宋" w:eastAsia="仿宋" w:cs="仿宋"/>
                <w:b/>
                <w:bCs/>
                <w:i w:val="0"/>
                <w:iCs w:val="0"/>
                <w:color w:val="auto"/>
                <w:kern w:val="0"/>
                <w:sz w:val="18"/>
                <w:szCs w:val="18"/>
                <w:highlight w:val="none"/>
                <w:u w:val="none"/>
                <w:lang w:bidi="ar"/>
              </w:rPr>
              <w:t>住院津贴</w:t>
            </w: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751995C">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b/>
                <w:bCs/>
                <w:i w:val="0"/>
                <w:iCs w:val="0"/>
                <w:color w:val="auto"/>
                <w:kern w:val="2"/>
                <w:sz w:val="18"/>
                <w:szCs w:val="18"/>
                <w:highlight w:val="none"/>
                <w:u w:val="none"/>
                <w:lang w:val="en-US" w:eastAsia="zh-CN" w:bidi="ar-SA"/>
              </w:rPr>
              <w:t>疾病</w:t>
            </w:r>
            <w:r>
              <w:rPr>
                <w:rFonts w:hint="eastAsia" w:ascii="仿宋" w:hAnsi="仿宋" w:eastAsia="仿宋" w:cs="仿宋"/>
                <w:i w:val="0"/>
                <w:iCs w:val="0"/>
                <w:color w:val="auto"/>
                <w:kern w:val="2"/>
                <w:sz w:val="18"/>
                <w:szCs w:val="18"/>
                <w:highlight w:val="none"/>
                <w:u w:val="none"/>
                <w:lang w:val="en-US" w:eastAsia="zh-CN" w:bidi="ar-SA"/>
              </w:rPr>
              <w:t>住院补贴；</w:t>
            </w:r>
          </w:p>
          <w:p w14:paraId="3F0FD481">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最低保障：20元/天</w:t>
            </w:r>
          </w:p>
        </w:tc>
        <w:tc>
          <w:tcPr>
            <w:tcW w:w="506"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2686CC3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iCs/>
                <w:color w:val="auto"/>
                <w:sz w:val="15"/>
                <w:szCs w:val="15"/>
                <w:highlight w:val="none"/>
                <w:u w:val="none"/>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3949A50">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8B073E5">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right w:val="single" w:color="auto" w:sz="4" w:space="0"/>
            </w:tcBorders>
            <w:shd w:val="clear" w:color="auto" w:fill="FFFFFF" w:themeFill="background1"/>
            <w:tcMar>
              <w:top w:w="15" w:type="dxa"/>
              <w:left w:w="15" w:type="dxa"/>
              <w:right w:w="15" w:type="dxa"/>
            </w:tcMar>
            <w:vAlign w:val="center"/>
          </w:tcPr>
          <w:p w14:paraId="6F74ED8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r>
      <w:tr w14:paraId="1E166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0" w:type="dxa"/>
            <w:bottom w:w="0" w:type="dxa"/>
            <w:right w:w="0" w:type="dxa"/>
          </w:tblCellMar>
        </w:tblPrEx>
        <w:trPr>
          <w:trHeight w:val="90" w:hRule="atLeast"/>
        </w:trPr>
        <w:tc>
          <w:tcPr>
            <w:tcW w:w="329"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22CDF2B1">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210"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3CAD0A3">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95"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7445814">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b/>
                <w:bCs/>
                <w:color w:val="auto"/>
                <w:highlight w:val="none"/>
              </w:rPr>
            </w:pPr>
          </w:p>
        </w:tc>
        <w:tc>
          <w:tcPr>
            <w:tcW w:w="298"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95BC29F">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color w:val="auto"/>
                <w:highlight w:val="none"/>
                <w:lang w:val="en-US" w:eastAsia="zh-CN"/>
              </w:rPr>
            </w:pPr>
          </w:p>
        </w:tc>
        <w:tc>
          <w:tcPr>
            <w:tcW w:w="359"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E504420">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color w:val="auto"/>
                <w:highlight w:val="none"/>
                <w:lang w:val="en-US" w:eastAsia="zh-CN"/>
              </w:rPr>
            </w:pPr>
          </w:p>
        </w:tc>
        <w:tc>
          <w:tcPr>
            <w:tcW w:w="383"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31C0E185">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c>
          <w:tcPr>
            <w:tcW w:w="175"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09EEB11">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color w:val="auto"/>
                <w:kern w:val="0"/>
                <w:sz w:val="18"/>
                <w:szCs w:val="18"/>
                <w:highlight w:val="none"/>
                <w:u w:val="none"/>
                <w:lang w:bidi="ar"/>
              </w:rPr>
            </w:pPr>
          </w:p>
        </w:tc>
        <w:tc>
          <w:tcPr>
            <w:tcW w:w="728"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5C443213">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b/>
                <w:bCs/>
                <w:i w:val="0"/>
                <w:iCs w:val="0"/>
                <w:color w:val="auto"/>
                <w:kern w:val="2"/>
                <w:sz w:val="18"/>
                <w:szCs w:val="18"/>
                <w:highlight w:val="none"/>
                <w:u w:val="none"/>
                <w:lang w:val="en-US" w:eastAsia="zh-CN" w:bidi="ar-SA"/>
              </w:rPr>
              <w:t>意外</w:t>
            </w:r>
            <w:r>
              <w:rPr>
                <w:rFonts w:hint="eastAsia" w:ascii="仿宋" w:hAnsi="仿宋" w:eastAsia="仿宋" w:cs="仿宋"/>
                <w:i w:val="0"/>
                <w:iCs w:val="0"/>
                <w:color w:val="auto"/>
                <w:kern w:val="2"/>
                <w:sz w:val="18"/>
                <w:szCs w:val="18"/>
                <w:highlight w:val="none"/>
                <w:u w:val="none"/>
                <w:lang w:val="en-US" w:eastAsia="zh-CN" w:bidi="ar-SA"/>
              </w:rPr>
              <w:t>住院补贴；</w:t>
            </w:r>
          </w:p>
          <w:p w14:paraId="221CA06A">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iCs w:val="0"/>
                <w:color w:val="auto"/>
                <w:kern w:val="2"/>
                <w:sz w:val="18"/>
                <w:szCs w:val="18"/>
                <w:highlight w:val="none"/>
                <w:u w:val="none"/>
                <w:lang w:val="en-US" w:eastAsia="zh-CN" w:bidi="ar-SA"/>
              </w:rPr>
            </w:pPr>
            <w:r>
              <w:rPr>
                <w:rFonts w:hint="eastAsia" w:ascii="仿宋" w:hAnsi="仿宋" w:eastAsia="仿宋" w:cs="仿宋"/>
                <w:i w:val="0"/>
                <w:iCs w:val="0"/>
                <w:color w:val="auto"/>
                <w:kern w:val="2"/>
                <w:sz w:val="18"/>
                <w:szCs w:val="18"/>
                <w:highlight w:val="none"/>
                <w:u w:val="none"/>
                <w:lang w:val="en-US" w:eastAsia="zh-CN" w:bidi="ar-SA"/>
              </w:rPr>
              <w:t>最低保障：50元/天</w:t>
            </w:r>
          </w:p>
        </w:tc>
        <w:tc>
          <w:tcPr>
            <w:tcW w:w="506"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4ADF7F8">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iCs/>
                <w:color w:val="auto"/>
                <w:sz w:val="15"/>
                <w:szCs w:val="15"/>
                <w:highlight w:val="none"/>
                <w:u w:val="none"/>
              </w:rPr>
            </w:pPr>
          </w:p>
        </w:tc>
        <w:tc>
          <w:tcPr>
            <w:tcW w:w="692"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44E923E">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694" w:type="pct"/>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0650EB2D">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宋体" w:hAnsi="宋体" w:eastAsia="宋体" w:cs="宋体"/>
                <w:i/>
                <w:iCs/>
                <w:color w:val="auto"/>
                <w:kern w:val="2"/>
                <w:sz w:val="15"/>
                <w:szCs w:val="15"/>
                <w:highlight w:val="none"/>
                <w:u w:val="none"/>
                <w:lang w:val="en-US" w:eastAsia="zh-CN" w:bidi="ar-SA"/>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c>
          <w:tcPr>
            <w:tcW w:w="427" w:type="pct"/>
            <w:vMerge w:val="continue"/>
            <w:tcBorders>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4CD49789">
            <w:pPr>
              <w:keepNext w:val="0"/>
              <w:keepLines w:val="0"/>
              <w:pageBreakBefore w:val="0"/>
              <w:widowControl w:val="0"/>
              <w:suppressLineNumbers w:val="0"/>
              <w:kinsoku/>
              <w:wordWrap w:val="0"/>
              <w:overflowPunct/>
              <w:topLinePunct w:val="0"/>
              <w:autoSpaceDE w:val="0"/>
              <w:autoSpaceDN w:val="0"/>
              <w:bidi w:val="0"/>
              <w:jc w:val="center"/>
              <w:textAlignment w:val="center"/>
              <w:rPr>
                <w:color w:val="auto"/>
                <w:highlight w:val="none"/>
              </w:rPr>
            </w:pPr>
          </w:p>
        </w:tc>
      </w:tr>
      <w:tr w14:paraId="737F2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CellMar>
            <w:top w:w="0" w:type="dxa"/>
            <w:left w:w="0" w:type="dxa"/>
            <w:bottom w:w="0" w:type="dxa"/>
            <w:right w:w="0" w:type="dxa"/>
          </w:tblCellMar>
        </w:tblPrEx>
        <w:trPr>
          <w:trHeight w:val="90" w:hRule="atLeast"/>
        </w:trPr>
        <w:tc>
          <w:tcPr>
            <w:tcW w:w="1776" w:type="pct"/>
            <w:gridSpan w:val="6"/>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18E50CE7">
            <w:pPr>
              <w:keepNext w:val="0"/>
              <w:keepLines w:val="0"/>
              <w:widowControl/>
              <w:suppressLineNumbers w:val="0"/>
              <w:jc w:val="center"/>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报价合计金额（</w:t>
            </w:r>
            <w:r>
              <w:rPr>
                <w:rFonts w:hint="eastAsia" w:ascii="仿宋" w:hAnsi="仿宋" w:eastAsia="仿宋" w:cs="仿宋"/>
                <w:b/>
                <w:bCs/>
                <w:color w:val="auto"/>
                <w:kern w:val="0"/>
                <w:sz w:val="24"/>
                <w:szCs w:val="24"/>
                <w:highlight w:val="none"/>
                <w:u w:val="none"/>
                <w:shd w:val="clear" w:color="auto" w:fill="auto"/>
                <w:lang w:bidi="ar"/>
              </w:rPr>
              <w:t>元/年</w:t>
            </w:r>
            <w:r>
              <w:rPr>
                <w:rFonts w:hint="eastAsia" w:ascii="仿宋" w:hAnsi="仿宋" w:eastAsia="仿宋" w:cs="仿宋"/>
                <w:b/>
                <w:bCs/>
                <w:i w:val="0"/>
                <w:iCs w:val="0"/>
                <w:color w:val="auto"/>
                <w:kern w:val="0"/>
                <w:sz w:val="24"/>
                <w:szCs w:val="24"/>
                <w:highlight w:val="none"/>
                <w:u w:val="none"/>
                <w:lang w:val="en-US" w:eastAsia="zh-CN" w:bidi="ar"/>
              </w:rPr>
              <w:t>）：</w:t>
            </w:r>
          </w:p>
          <w:p w14:paraId="3DA3CF72">
            <w:pPr>
              <w:keepNext w:val="0"/>
              <w:keepLines w:val="0"/>
              <w:pageBreakBefore w:val="0"/>
              <w:widowControl w:val="0"/>
              <w:suppressLineNumbers w:val="0"/>
              <w:kinsoku/>
              <w:wordWrap w:val="0"/>
              <w:overflowPunct/>
              <w:topLinePunct w:val="0"/>
              <w:autoSpaceDE w:val="0"/>
              <w:autoSpaceDN w:val="0"/>
              <w:bidi w:val="0"/>
              <w:jc w:val="center"/>
              <w:textAlignment w:val="center"/>
              <w:rPr>
                <w:rFonts w:hint="eastAsia" w:ascii="仿宋" w:hAnsi="仿宋" w:eastAsia="仿宋" w:cs="仿宋"/>
                <w:i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（大写人民币）</w:t>
            </w:r>
          </w:p>
        </w:tc>
        <w:tc>
          <w:tcPr>
            <w:tcW w:w="3223" w:type="pct"/>
            <w:gridSpan w:val="6"/>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14:paraId="6E0B249A">
            <w:pPr>
              <w:keepNext w:val="0"/>
              <w:keepLines w:val="0"/>
              <w:pageBreakBefore w:val="0"/>
              <w:widowControl w:val="0"/>
              <w:suppressLineNumbers w:val="0"/>
              <w:kinsoku/>
              <w:wordWrap w:val="0"/>
              <w:overflowPunct/>
              <w:topLinePunct w:val="0"/>
              <w:autoSpaceDE w:val="0"/>
              <w:autoSpaceDN w:val="0"/>
              <w:bidi w:val="0"/>
              <w:jc w:val="center"/>
              <w:textAlignment w:val="center"/>
              <w:rPr>
                <w:rFonts w:hint="default" w:ascii="仿宋" w:hAnsi="仿宋" w:eastAsia="仿宋" w:cs="仿宋"/>
                <w:i w:val="0"/>
                <w:color w:val="auto"/>
                <w:kern w:val="0"/>
                <w:sz w:val="24"/>
                <w:szCs w:val="24"/>
                <w:highlight w:val="none"/>
                <w:u w:val="none"/>
                <w:lang w:val="en-US" w:eastAsia="zh-CN" w:bidi="ar"/>
              </w:rPr>
            </w:pPr>
            <w:r>
              <w:rPr>
                <w:rFonts w:hint="eastAsia" w:ascii="宋体" w:hAnsi="宋体" w:eastAsia="宋体" w:cs="宋体"/>
                <w:i/>
                <w:iCs/>
                <w:color w:val="auto"/>
                <w:kern w:val="2"/>
                <w:sz w:val="15"/>
                <w:szCs w:val="15"/>
                <w:highlight w:val="none"/>
                <w:u w:val="none"/>
                <w:lang w:val="en-US" w:eastAsia="zh-CN" w:bidi="ar-SA"/>
              </w:rPr>
              <w:t>｛</w:t>
            </w:r>
            <w:r>
              <w:rPr>
                <w:rFonts w:hint="eastAsia" w:ascii="仿宋" w:hAnsi="仿宋" w:eastAsia="仿宋" w:cs="仿宋"/>
                <w:i/>
                <w:iCs/>
                <w:color w:val="auto"/>
                <w:kern w:val="2"/>
                <w:sz w:val="15"/>
                <w:szCs w:val="15"/>
                <w:highlight w:val="none"/>
                <w:u w:val="none"/>
                <w:lang w:val="en-US" w:eastAsia="zh-CN" w:bidi="ar-SA"/>
              </w:rPr>
              <w:t>遴选申请人响应</w:t>
            </w:r>
            <w:r>
              <w:rPr>
                <w:rFonts w:hint="eastAsia" w:ascii="宋体" w:hAnsi="宋体" w:eastAsia="宋体" w:cs="宋体"/>
                <w:i/>
                <w:iCs/>
                <w:color w:val="auto"/>
                <w:kern w:val="2"/>
                <w:sz w:val="15"/>
                <w:szCs w:val="15"/>
                <w:highlight w:val="none"/>
                <w:u w:val="none"/>
                <w:lang w:val="en-US" w:eastAsia="zh-CN" w:bidi="ar-SA"/>
              </w:rPr>
              <w:t>｝</w:t>
            </w:r>
          </w:p>
        </w:tc>
      </w:tr>
    </w:tbl>
    <w:p w14:paraId="31FEAC66">
      <w:pPr>
        <w:pStyle w:val="7"/>
        <w:pageBreakBefore w:val="0"/>
        <w:kinsoku/>
        <w:overflowPunct/>
        <w:topLinePunct w:val="0"/>
        <w:bidi w:val="0"/>
        <w:spacing w:after="0" w:line="240" w:lineRule="auto"/>
        <w:rPr>
          <w:rFonts w:hint="eastAsia" w:ascii="仿宋" w:hAnsi="仿宋" w:eastAsia="仿宋" w:cs="仿宋"/>
          <w:color w:val="auto"/>
          <w:sz w:val="24"/>
          <w:szCs w:val="24"/>
          <w:highlight w:val="none"/>
        </w:rPr>
      </w:pPr>
    </w:p>
    <w:p w14:paraId="02E30E14">
      <w:pPr>
        <w:pStyle w:val="7"/>
        <w:pageBreakBefore w:val="0"/>
        <w:kinsoku/>
        <w:overflowPunct/>
        <w:topLinePunct w:val="0"/>
        <w:bidi w:val="0"/>
        <w:spacing w:after="0" w:line="24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w:t>
      </w:r>
    </w:p>
    <w:p w14:paraId="702D744C">
      <w:pPr>
        <w:pStyle w:val="7"/>
        <w:pageBreakBefore w:val="0"/>
        <w:kinsoku/>
        <w:overflowPunct/>
        <w:topLinePunct w:val="0"/>
        <w:bidi w:val="0"/>
        <w:spacing w:after="0" w:line="24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在满足遴选文件要求的最低保额基础上，以上报价为含税、包送到指定地点的全包价。合同费用包括保险费、保险经纪费（如有）、服务费、税费、查勘费、培训费（如有）、利润以及完成项目所需的全部费用，</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不再另行支付任何费用。报价应包含</w:t>
      </w:r>
      <w:r>
        <w:rPr>
          <w:rFonts w:hint="eastAsia" w:ascii="仿宋" w:hAnsi="仿宋" w:eastAsia="仿宋" w:cs="仿宋"/>
          <w:color w:val="auto"/>
          <w:sz w:val="24"/>
          <w:szCs w:val="24"/>
          <w:highlight w:val="none"/>
          <w:lang w:val="en-US" w:eastAsia="zh-CN"/>
        </w:rPr>
        <w:t>遴选</w:t>
      </w:r>
      <w:r>
        <w:rPr>
          <w:rFonts w:hint="eastAsia" w:ascii="仿宋" w:hAnsi="仿宋" w:eastAsia="仿宋" w:cs="仿宋"/>
          <w:color w:val="auto"/>
          <w:sz w:val="24"/>
          <w:szCs w:val="24"/>
          <w:highlight w:val="none"/>
        </w:rPr>
        <w:t>文件要求的保险方案范围内的全部保障内容，若投标方案保障范围优于或高于招标要求，不得以此为由增加费用</w:t>
      </w:r>
      <w:r>
        <w:rPr>
          <w:rFonts w:hint="eastAsia" w:ascii="仿宋" w:hAnsi="仿宋" w:eastAsia="仿宋" w:cs="仿宋"/>
          <w:color w:val="auto"/>
          <w:sz w:val="24"/>
          <w:szCs w:val="24"/>
          <w:highlight w:val="none"/>
          <w:lang w:eastAsia="zh-CN"/>
        </w:rPr>
        <w:t>。</w:t>
      </w:r>
    </w:p>
    <w:p w14:paraId="594A3D5F">
      <w:pPr>
        <w:pStyle w:val="7"/>
        <w:pageBreakBefore w:val="0"/>
        <w:kinsoku/>
        <w:overflowPunct/>
        <w:topLinePunct w:val="0"/>
        <w:bidi w:val="0"/>
        <w:spacing w:after="0" w:line="240" w:lineRule="auto"/>
        <w:ind w:firstLine="48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不再支付中标金额以外的任何费用，</w:t>
      </w:r>
      <w:r>
        <w:rPr>
          <w:rFonts w:hint="eastAsia" w:ascii="仿宋" w:hAnsi="仿宋" w:eastAsia="仿宋" w:cs="仿宋"/>
          <w:b/>
          <w:bCs/>
          <w:color w:val="auto"/>
          <w:sz w:val="24"/>
          <w:szCs w:val="24"/>
          <w:highlight w:val="none"/>
        </w:rPr>
        <w:t>报价</w:t>
      </w:r>
      <w:r>
        <w:rPr>
          <w:rFonts w:hint="eastAsia" w:ascii="仿宋" w:hAnsi="仿宋" w:eastAsia="仿宋" w:cs="仿宋"/>
          <w:b/>
          <w:bCs/>
          <w:color w:val="auto"/>
          <w:sz w:val="24"/>
          <w:szCs w:val="24"/>
          <w:highlight w:val="none"/>
          <w:lang w:val="en-US" w:eastAsia="zh-CN"/>
        </w:rPr>
        <w:t>合计金额</w:t>
      </w:r>
      <w:r>
        <w:rPr>
          <w:rFonts w:hint="eastAsia" w:ascii="仿宋" w:hAnsi="仿宋" w:eastAsia="仿宋" w:cs="仿宋"/>
          <w:b/>
          <w:bCs/>
          <w:color w:val="auto"/>
          <w:sz w:val="24"/>
          <w:szCs w:val="24"/>
          <w:highlight w:val="none"/>
        </w:rPr>
        <w:t>不得超过本项目最高限价，否则作无效投标处理</w:t>
      </w:r>
      <w:r>
        <w:rPr>
          <w:rFonts w:hint="eastAsia" w:ascii="仿宋" w:hAnsi="仿宋" w:eastAsia="仿宋" w:cs="仿宋"/>
          <w:b/>
          <w:bCs/>
          <w:color w:val="auto"/>
          <w:sz w:val="24"/>
          <w:szCs w:val="24"/>
          <w:highlight w:val="none"/>
          <w:lang w:eastAsia="zh-CN"/>
        </w:rPr>
        <w:t>。</w:t>
      </w:r>
    </w:p>
    <w:p w14:paraId="06BC915D">
      <w:pPr>
        <w:pStyle w:val="7"/>
        <w:pageBreakBefore w:val="0"/>
        <w:kinsoku/>
        <w:overflowPunct/>
        <w:topLinePunct w:val="0"/>
        <w:bidi w:val="0"/>
        <w:spacing w:after="0" w:line="24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遴选申请人</w:t>
      </w:r>
      <w:r>
        <w:rPr>
          <w:rFonts w:hint="eastAsia" w:ascii="仿宋" w:hAnsi="仿宋" w:eastAsia="仿宋" w:cs="仿宋"/>
          <w:color w:val="auto"/>
          <w:sz w:val="24"/>
          <w:szCs w:val="24"/>
          <w:highlight w:val="none"/>
        </w:rPr>
        <w:t>必须按表格要求逐项填写，不得缺漏项，否则将由评标委员会修正或认定为非实质性响应。</w:t>
      </w:r>
    </w:p>
    <w:p w14:paraId="5F711EBB">
      <w:pPr>
        <w:pStyle w:val="7"/>
        <w:pageBreakBefore w:val="0"/>
        <w:kinsoku/>
        <w:overflowPunct/>
        <w:topLinePunct w:val="0"/>
        <w:bidi w:val="0"/>
        <w:spacing w:after="0" w:line="24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名称：（盖单位公章）</w:t>
      </w:r>
    </w:p>
    <w:p w14:paraId="68760484">
      <w:pPr>
        <w:pStyle w:val="7"/>
        <w:pageBreakBefore w:val="0"/>
        <w:kinsoku/>
        <w:overflowPunct/>
        <w:topLinePunct w:val="0"/>
        <w:bidi w:val="0"/>
        <w:spacing w:after="0" w:line="240" w:lineRule="auto"/>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法定代表人（负责人）或授权代表（签字或者加盖个人名章）：</w:t>
      </w:r>
    </w:p>
    <w:p w14:paraId="23B7849C">
      <w:pPr>
        <w:pStyle w:val="7"/>
        <w:pageBreakBefore w:val="0"/>
        <w:kinsoku/>
        <w:overflowPunct/>
        <w:topLinePunct w:val="0"/>
        <w:bidi w:val="0"/>
        <w:spacing w:after="0" w:line="240" w:lineRule="auto"/>
        <w:ind w:firstLine="480" w:firstLineChars="200"/>
        <w:jc w:val="right"/>
        <w:rPr>
          <w:rFonts w:hint="eastAsia" w:ascii="仿宋" w:hAnsi="仿宋" w:eastAsia="仿宋" w:cs="仿宋"/>
          <w:color w:val="auto"/>
          <w:sz w:val="24"/>
          <w:szCs w:val="24"/>
          <w:highlight w:val="none"/>
        </w:rPr>
      </w:pPr>
    </w:p>
    <w:p w14:paraId="4AB59B34">
      <w:pPr>
        <w:pStyle w:val="7"/>
        <w:pageBreakBefore w:val="0"/>
        <w:kinsoku/>
        <w:overflowPunct/>
        <w:topLinePunct w:val="0"/>
        <w:bidi w:val="0"/>
        <w:spacing w:after="0" w:line="240" w:lineRule="auto"/>
        <w:ind w:firstLine="480" w:firstLineChars="200"/>
        <w:jc w:val="right"/>
        <w:rPr>
          <w:rFonts w:hint="eastAsia" w:ascii="仿宋" w:hAnsi="仿宋" w:eastAsia="仿宋" w:cs="仿宋"/>
          <w:color w:val="auto"/>
          <w:sz w:val="24"/>
          <w:szCs w:val="24"/>
          <w:highlight w:val="none"/>
        </w:rPr>
        <w:sectPr>
          <w:headerReference r:id="rId6" w:type="default"/>
          <w:footerReference r:id="rId7" w:type="default"/>
          <w:pgSz w:w="16838" w:h="11906" w:orient="landscape"/>
          <w:pgMar w:top="1247" w:right="1418" w:bottom="1247" w:left="1418" w:header="851" w:footer="992" w:gutter="0"/>
          <w:pgNumType w:fmt="numberInDash"/>
          <w:cols w:space="0" w:num="1"/>
          <w:docGrid w:type="lines" w:linePitch="313" w:charSpace="0"/>
        </w:sect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lang w:val="en-US" w:eastAsia="zh-CN"/>
        </w:rPr>
        <w:t>2026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XXX</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XXX</w:t>
      </w:r>
      <w:r>
        <w:rPr>
          <w:rFonts w:hint="eastAsia" w:ascii="仿宋" w:hAnsi="仿宋" w:eastAsia="仿宋" w:cs="仿宋"/>
          <w:color w:val="auto"/>
          <w:sz w:val="24"/>
          <w:szCs w:val="24"/>
          <w:highlight w:val="none"/>
        </w:rPr>
        <w:t>日</w:t>
      </w:r>
    </w:p>
    <w:p w14:paraId="222BC5FF">
      <w:pPr>
        <w:pStyle w:val="3"/>
        <w:pageBreakBefore w:val="0"/>
        <w:kinsoku/>
        <w:wordWrap/>
        <w:overflowPunct/>
        <w:topLinePunct w:val="0"/>
        <w:bidi w:val="0"/>
        <w:snapToGrid/>
        <w:spacing w:before="0" w:after="0" w:line="0" w:lineRule="atLeast"/>
        <w:rPr>
          <w:rFonts w:hint="eastAsia" w:ascii="仿宋" w:hAnsi="仿宋" w:eastAsia="仿宋" w:cs="仿宋"/>
          <w:bCs w:val="0"/>
          <w:color w:val="auto"/>
          <w:spacing w:val="0"/>
          <w:sz w:val="30"/>
          <w:szCs w:val="30"/>
          <w:highlight w:val="none"/>
        </w:rPr>
      </w:pPr>
      <w:r>
        <w:rPr>
          <w:rFonts w:hint="eastAsia" w:ascii="仿宋" w:hAnsi="仿宋" w:eastAsia="仿宋" w:cs="仿宋"/>
          <w:bCs w:val="0"/>
          <w:color w:val="auto"/>
          <w:spacing w:val="0"/>
          <w:sz w:val="30"/>
          <w:szCs w:val="30"/>
          <w:highlight w:val="none"/>
        </w:rPr>
        <w:t>3、承诺函</w:t>
      </w:r>
    </w:p>
    <w:p w14:paraId="277915AD">
      <w:pPr>
        <w:pageBreakBefore w:val="0"/>
        <w:kinsoku/>
        <w:wordWrap/>
        <w:overflowPunct/>
        <w:topLinePunct w:val="0"/>
        <w:bidi w:val="0"/>
        <w:snapToGrid/>
        <w:spacing w:line="0" w:lineRule="atLeas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致</w:t>
      </w:r>
      <w:r>
        <w:rPr>
          <w:rFonts w:hint="eastAsia" w:ascii="仿宋" w:hAnsi="仿宋" w:eastAsia="仿宋" w:cs="仿宋"/>
          <w:color w:val="auto"/>
          <w:spacing w:val="0"/>
          <w:sz w:val="24"/>
          <w:szCs w:val="24"/>
          <w:highlight w:val="none"/>
          <w:u w:val="single"/>
          <w:lang w:eastAsia="zh-CN"/>
        </w:rPr>
        <w:t>成都市成华区第七人民医院</w:t>
      </w:r>
      <w:r>
        <w:rPr>
          <w:rFonts w:hint="eastAsia" w:ascii="仿宋" w:hAnsi="仿宋" w:eastAsia="仿宋" w:cs="仿宋"/>
          <w:color w:val="auto"/>
          <w:spacing w:val="0"/>
          <w:sz w:val="24"/>
          <w:szCs w:val="24"/>
          <w:highlight w:val="none"/>
        </w:rPr>
        <w:t>：</w:t>
      </w:r>
    </w:p>
    <w:p w14:paraId="069AB33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（遴选申请人名称）参加（项目名称）的遴选活动，特别针对以下条款，郑重承诺：</w:t>
      </w:r>
    </w:p>
    <w:p w14:paraId="4FBAF4D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1、具有独立承担民事责任的能力；</w:t>
      </w:r>
    </w:p>
    <w:p w14:paraId="2529356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2、具有良好的商业信誉和健全的财务会计制度；</w:t>
      </w:r>
    </w:p>
    <w:p w14:paraId="07C8A8C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3、具有履行合同所必需的设备和专业技术能力；</w:t>
      </w:r>
    </w:p>
    <w:p w14:paraId="0780D37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4、具有依法缴纳税收和社会保障资金的良好记录；</w:t>
      </w:r>
    </w:p>
    <w:p w14:paraId="4A8AEA6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5、参加本次遴选活动前三年内，在经营活动中没有重大违法记录；</w:t>
      </w:r>
    </w:p>
    <w:p w14:paraId="01899CA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6、遴选申请人还符合法律、行政法规规定的其他强制性条件；</w:t>
      </w:r>
    </w:p>
    <w:p w14:paraId="3EEA1CC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7、我方完全同意遴选文件第一章遴选申请人须知中关于“遴选报价”、“遴选响应有效期”、“合同签订”、“遴选申请人禁止同时参加同一遴选项目的情形”的实质性要求，并承诺严格按照遴选文件要求履行。</w:t>
      </w:r>
    </w:p>
    <w:p w14:paraId="11E0CB0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p>
    <w:p w14:paraId="60C50492">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本单位对上述承诺的内容事项真实性负责。如经查实上述承诺的内容事项存在虚假，我单位愿意接受以提供虚假材料谋取中选追究法律责任。</w:t>
      </w:r>
    </w:p>
    <w:p w14:paraId="5238F00C">
      <w:pPr>
        <w:pageBreakBefore w:val="0"/>
        <w:kinsoku/>
        <w:wordWrap/>
        <w:overflowPunct/>
        <w:topLinePunct w:val="0"/>
        <w:bidi w:val="0"/>
        <w:snapToGrid/>
        <w:spacing w:line="0" w:lineRule="atLeast"/>
        <w:ind w:firstLine="848"/>
        <w:rPr>
          <w:rFonts w:hint="eastAsia" w:ascii="仿宋" w:hAnsi="仿宋" w:eastAsia="仿宋" w:cs="仿宋"/>
          <w:color w:val="auto"/>
          <w:spacing w:val="0"/>
          <w:sz w:val="24"/>
          <w:szCs w:val="24"/>
          <w:highlight w:val="none"/>
        </w:rPr>
      </w:pPr>
    </w:p>
    <w:p w14:paraId="737C2A02">
      <w:pPr>
        <w:pageBreakBefore w:val="0"/>
        <w:kinsoku/>
        <w:wordWrap/>
        <w:overflowPunct/>
        <w:topLinePunct w:val="0"/>
        <w:bidi w:val="0"/>
        <w:snapToGrid/>
        <w:spacing w:line="0" w:lineRule="atLeast"/>
        <w:ind w:firstLine="2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如违反以上承诺，本公司愿承担一切法律责任。</w:t>
      </w:r>
    </w:p>
    <w:p w14:paraId="076FDE38">
      <w:pPr>
        <w:pageBreakBefore w:val="0"/>
        <w:kinsoku/>
        <w:wordWrap/>
        <w:overflowPunct/>
        <w:topLinePunct w:val="0"/>
        <w:bidi w:val="0"/>
        <w:snapToGrid/>
        <w:spacing w:line="0" w:lineRule="atLeast"/>
        <w:ind w:firstLine="280"/>
        <w:rPr>
          <w:rFonts w:hint="eastAsia" w:ascii="仿宋" w:hAnsi="仿宋" w:eastAsia="仿宋" w:cs="仿宋"/>
          <w:color w:val="auto"/>
          <w:spacing w:val="0"/>
          <w:sz w:val="24"/>
          <w:szCs w:val="24"/>
          <w:highlight w:val="none"/>
        </w:rPr>
      </w:pPr>
    </w:p>
    <w:p w14:paraId="2371FA7A">
      <w:pPr>
        <w:pageBreakBefore w:val="0"/>
        <w:kinsoku/>
        <w:wordWrap/>
        <w:overflowPunct/>
        <w:topLinePunct w:val="0"/>
        <w:bidi w:val="0"/>
        <w:snapToGrid/>
        <w:spacing w:line="0" w:lineRule="atLeast"/>
        <w:ind w:firstLine="2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遴选申请人名称：</w:t>
      </w:r>
      <w:r>
        <w:rPr>
          <w:rFonts w:hint="eastAsia" w:ascii="仿宋" w:hAnsi="仿宋" w:eastAsia="仿宋" w:cs="仿宋"/>
          <w:color w:val="auto"/>
          <w:spacing w:val="0"/>
          <w:sz w:val="24"/>
          <w:szCs w:val="24"/>
          <w:highlight w:val="none"/>
          <w:u w:val="single"/>
        </w:rPr>
        <w:t>（盖章）</w:t>
      </w:r>
    </w:p>
    <w:p w14:paraId="34FA7659">
      <w:pPr>
        <w:pageBreakBefore w:val="0"/>
        <w:kinsoku/>
        <w:wordWrap/>
        <w:overflowPunct/>
        <w:topLinePunct w:val="0"/>
        <w:bidi w:val="0"/>
        <w:snapToGrid/>
        <w:spacing w:line="0" w:lineRule="atLeast"/>
        <w:ind w:firstLine="2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法定代表人或授权代表（签字）：</w:t>
      </w:r>
    </w:p>
    <w:p w14:paraId="5AE58E3A">
      <w:pPr>
        <w:pageBreakBefore w:val="0"/>
        <w:kinsoku/>
        <w:wordWrap/>
        <w:overflowPunct/>
        <w:topLinePunct w:val="0"/>
        <w:bidi w:val="0"/>
        <w:snapToGrid/>
        <w:spacing w:line="0" w:lineRule="atLeast"/>
        <w:ind w:firstLine="2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遴选日期：X年X月X日</w:t>
      </w:r>
    </w:p>
    <w:p w14:paraId="0C848961">
      <w:pPr>
        <w:pageBreakBefore w:val="0"/>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p>
    <w:p w14:paraId="7CD82CD9">
      <w:pPr>
        <w:pageBreakBefore w:val="0"/>
        <w:kinsoku/>
        <w:wordWrap/>
        <w:overflowPunct/>
        <w:topLinePunct w:val="0"/>
        <w:bidi w:val="0"/>
        <w:snapToGrid/>
        <w:spacing w:line="0" w:lineRule="atLeast"/>
        <w:ind w:firstLine="28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注：1.可自行提供具有有效签字和盖章的格式，但承诺函的内容至少应该包含本格式中涉及的承诺内容。</w:t>
      </w:r>
    </w:p>
    <w:p w14:paraId="1CFE2230">
      <w:pPr>
        <w:pageBreakBefore w:val="0"/>
        <w:kinsoku/>
        <w:wordWrap/>
        <w:overflowPunct/>
        <w:topLinePunct w:val="0"/>
        <w:bidi w:val="0"/>
        <w:snapToGrid/>
        <w:spacing w:line="0" w:lineRule="atLeast"/>
        <w:ind w:firstLine="280"/>
        <w:rPr>
          <w:rFonts w:hint="eastAsia" w:ascii="仿宋" w:hAnsi="仿宋" w:eastAsia="仿宋" w:cs="仿宋"/>
          <w:b/>
          <w:color w:val="auto"/>
          <w:spacing w:val="0"/>
          <w:sz w:val="24"/>
          <w:szCs w:val="24"/>
          <w:highlight w:val="none"/>
          <w:lang w:eastAsia="zh-CN"/>
        </w:rPr>
      </w:pPr>
    </w:p>
    <w:p w14:paraId="3FD948AF">
      <w:pPr>
        <w:pStyle w:val="3"/>
        <w:pageBreakBefore w:val="0"/>
        <w:kinsoku/>
        <w:wordWrap/>
        <w:overflowPunct/>
        <w:topLinePunct w:val="0"/>
        <w:bidi w:val="0"/>
        <w:snapToGrid/>
        <w:spacing w:before="0" w:after="0" w:line="0" w:lineRule="atLeast"/>
        <w:rPr>
          <w:rFonts w:hint="eastAsia" w:ascii="仿宋" w:hAnsi="仿宋" w:eastAsia="仿宋" w:cs="仿宋"/>
          <w:bCs w:val="0"/>
          <w:color w:val="auto"/>
          <w:spacing w:val="0"/>
          <w:sz w:val="30"/>
          <w:szCs w:val="30"/>
          <w:highlight w:val="none"/>
          <w:lang w:val="en-US" w:eastAsia="zh-CN"/>
        </w:rPr>
      </w:pPr>
      <w:r>
        <w:rPr>
          <w:rFonts w:hint="eastAsia" w:ascii="仿宋" w:hAnsi="仿宋" w:eastAsia="仿宋" w:cs="仿宋"/>
          <w:bCs w:val="0"/>
          <w:color w:val="auto"/>
          <w:spacing w:val="0"/>
          <w:sz w:val="30"/>
          <w:szCs w:val="30"/>
          <w:highlight w:val="none"/>
        </w:rPr>
        <w:t>4、</w:t>
      </w:r>
      <w:r>
        <w:rPr>
          <w:rFonts w:hint="eastAsia" w:ascii="仿宋" w:hAnsi="仿宋" w:eastAsia="仿宋" w:cs="仿宋"/>
          <w:bCs w:val="0"/>
          <w:color w:val="auto"/>
          <w:spacing w:val="0"/>
          <w:sz w:val="30"/>
          <w:szCs w:val="30"/>
          <w:highlight w:val="none"/>
          <w:lang w:val="en-US" w:eastAsia="zh-CN"/>
        </w:rPr>
        <w:t>相关</w:t>
      </w:r>
      <w:r>
        <w:rPr>
          <w:rFonts w:hint="eastAsia" w:ascii="仿宋" w:hAnsi="仿宋" w:eastAsia="仿宋" w:cs="仿宋"/>
          <w:bCs w:val="0"/>
          <w:color w:val="auto"/>
          <w:sz w:val="30"/>
          <w:szCs w:val="30"/>
          <w:highlight w:val="none"/>
        </w:rPr>
        <w:t>资格证明材料</w:t>
      </w:r>
    </w:p>
    <w:p w14:paraId="0EDEA648">
      <w:pPr>
        <w:pageBreakBefore w:val="0"/>
        <w:kinsoku/>
        <w:wordWrap/>
        <w:overflowPunct/>
        <w:topLinePunct w:val="0"/>
        <w:bidi w:val="0"/>
        <w:snapToGrid/>
        <w:spacing w:line="0" w:lineRule="atLeast"/>
        <w:jc w:val="center"/>
        <w:rPr>
          <w:rFonts w:hint="eastAsia" w:ascii="仿宋" w:hAnsi="仿宋" w:eastAsia="仿宋" w:cs="仿宋"/>
          <w:b/>
          <w:bCs/>
          <w:color w:val="auto"/>
          <w:spacing w:val="0"/>
          <w:sz w:val="30"/>
          <w:szCs w:val="30"/>
          <w:highlight w:val="none"/>
        </w:rPr>
      </w:pPr>
      <w:r>
        <w:rPr>
          <w:rFonts w:hint="eastAsia" w:ascii="仿宋" w:hAnsi="仿宋" w:eastAsia="仿宋" w:cs="仿宋"/>
          <w:b/>
          <w:bCs/>
          <w:color w:val="auto"/>
          <w:spacing w:val="0"/>
          <w:sz w:val="30"/>
          <w:szCs w:val="30"/>
          <w:highlight w:val="none"/>
        </w:rPr>
        <w:t>（如：营业执照</w:t>
      </w:r>
      <w:r>
        <w:rPr>
          <w:rFonts w:hint="eastAsia" w:ascii="仿宋" w:hAnsi="仿宋" w:eastAsia="仿宋" w:cs="仿宋"/>
          <w:b/>
          <w:bCs/>
          <w:color w:val="auto"/>
          <w:spacing w:val="0"/>
          <w:sz w:val="30"/>
          <w:szCs w:val="30"/>
          <w:highlight w:val="none"/>
          <w:lang w:eastAsia="zh-CN"/>
        </w:rPr>
        <w:t>、信用中国查询截图</w:t>
      </w:r>
      <w:r>
        <w:rPr>
          <w:rFonts w:hint="eastAsia" w:ascii="仿宋" w:hAnsi="仿宋" w:eastAsia="仿宋" w:cs="仿宋"/>
          <w:b/>
          <w:bCs/>
          <w:color w:val="auto"/>
          <w:spacing w:val="0"/>
          <w:sz w:val="30"/>
          <w:szCs w:val="30"/>
          <w:highlight w:val="none"/>
        </w:rPr>
        <w:t>等）</w:t>
      </w:r>
    </w:p>
    <w:p w14:paraId="46FE631D">
      <w:pPr>
        <w:keepNext/>
        <w:keepLines/>
        <w:pageBreakBefore w:val="0"/>
        <w:kinsoku/>
        <w:wordWrap/>
        <w:overflowPunct/>
        <w:topLinePunct w:val="0"/>
        <w:bidi w:val="0"/>
        <w:snapToGrid/>
        <w:spacing w:line="0" w:lineRule="atLeast"/>
        <w:jc w:val="center"/>
        <w:rPr>
          <w:rFonts w:hint="eastAsia" w:ascii="仿宋" w:hAnsi="仿宋" w:eastAsia="仿宋" w:cs="仿宋"/>
          <w:b/>
          <w:color w:val="auto"/>
          <w:spacing w:val="0"/>
          <w:sz w:val="24"/>
          <w:szCs w:val="24"/>
          <w:highlight w:val="none"/>
          <w:lang w:eastAsia="zh-CN"/>
        </w:rPr>
      </w:pPr>
    </w:p>
    <w:p w14:paraId="24356A43">
      <w:pPr>
        <w:pageBreakBefore w:val="0"/>
        <w:widowControl/>
        <w:kinsoku/>
        <w:wordWrap/>
        <w:overflowPunct/>
        <w:topLinePunct w:val="0"/>
        <w:bidi w:val="0"/>
        <w:snapToGrid/>
        <w:spacing w:line="0" w:lineRule="atLeast"/>
        <w:jc w:val="left"/>
        <w:rPr>
          <w:rFonts w:hint="eastAsia" w:ascii="仿宋" w:hAnsi="仿宋" w:eastAsia="仿宋" w:cs="仿宋"/>
          <w:b/>
          <w:color w:val="auto"/>
          <w:spacing w:val="0"/>
          <w:sz w:val="24"/>
          <w:szCs w:val="24"/>
          <w:highlight w:val="none"/>
        </w:rPr>
      </w:pPr>
      <w:r>
        <w:rPr>
          <w:rFonts w:hint="eastAsia" w:ascii="仿宋" w:hAnsi="仿宋" w:eastAsia="仿宋" w:cs="仿宋"/>
          <w:b/>
          <w:color w:val="auto"/>
          <w:spacing w:val="0"/>
          <w:sz w:val="24"/>
          <w:szCs w:val="24"/>
          <w:highlight w:val="none"/>
        </w:rPr>
        <w:br w:type="page"/>
      </w:r>
    </w:p>
    <w:p w14:paraId="64BB1F03">
      <w:pPr>
        <w:pStyle w:val="3"/>
        <w:pageBreakBefore w:val="0"/>
        <w:kinsoku/>
        <w:wordWrap/>
        <w:overflowPunct/>
        <w:topLinePunct w:val="0"/>
        <w:bidi w:val="0"/>
        <w:snapToGrid/>
        <w:spacing w:before="0" w:after="0" w:line="0" w:lineRule="atLeast"/>
        <w:rPr>
          <w:rFonts w:hint="eastAsia" w:ascii="仿宋" w:hAnsi="仿宋" w:eastAsia="仿宋" w:cs="仿宋"/>
          <w:b/>
          <w:color w:val="auto"/>
          <w:spacing w:val="0"/>
          <w:sz w:val="30"/>
          <w:szCs w:val="30"/>
          <w:highlight w:val="none"/>
        </w:rPr>
      </w:pPr>
      <w:r>
        <w:rPr>
          <w:rFonts w:hint="eastAsia" w:ascii="仿宋" w:hAnsi="仿宋" w:eastAsia="仿宋" w:cs="仿宋"/>
          <w:bCs w:val="0"/>
          <w:color w:val="auto"/>
          <w:spacing w:val="0"/>
          <w:sz w:val="30"/>
          <w:szCs w:val="30"/>
          <w:highlight w:val="none"/>
        </w:rPr>
        <w:t>5、遴选需求（第四章）应答表</w:t>
      </w:r>
    </w:p>
    <w:tbl>
      <w:tblPr>
        <w:tblStyle w:val="15"/>
        <w:tblW w:w="4999" w:type="pct"/>
        <w:tblInd w:w="0" w:type="dxa"/>
        <w:tblLayout w:type="autofit"/>
        <w:tblCellMar>
          <w:top w:w="0" w:type="dxa"/>
          <w:left w:w="10" w:type="dxa"/>
          <w:bottom w:w="0" w:type="dxa"/>
          <w:right w:w="10" w:type="dxa"/>
        </w:tblCellMar>
      </w:tblPr>
      <w:tblGrid>
        <w:gridCol w:w="1176"/>
        <w:gridCol w:w="3282"/>
        <w:gridCol w:w="2583"/>
        <w:gridCol w:w="2585"/>
      </w:tblGrid>
      <w:tr w14:paraId="08443912">
        <w:tblPrEx>
          <w:tblCellMar>
            <w:top w:w="0" w:type="dxa"/>
            <w:left w:w="10" w:type="dxa"/>
            <w:bottom w:w="0" w:type="dxa"/>
            <w:right w:w="10" w:type="dxa"/>
          </w:tblCellMar>
        </w:tblPrEx>
        <w:trPr>
          <w:trHeight w:val="567" w:hRule="atLeast"/>
        </w:trPr>
        <w:tc>
          <w:tcPr>
            <w:tcW w:w="61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921D71">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序号</w:t>
            </w:r>
          </w:p>
        </w:tc>
        <w:tc>
          <w:tcPr>
            <w:tcW w:w="1704"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236AF3">
            <w:pPr>
              <w:pageBreakBefore w:val="0"/>
              <w:kinsoku/>
              <w:wordWrap/>
              <w:overflowPunct/>
              <w:topLinePunct w:val="0"/>
              <w:bidi w:val="0"/>
              <w:snapToGrid/>
              <w:spacing w:line="0" w:lineRule="atLeast"/>
              <w:ind w:firstLine="560"/>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遴选文件要求（技术参数/商务条款）</w:t>
            </w:r>
          </w:p>
        </w:tc>
        <w:tc>
          <w:tcPr>
            <w:tcW w:w="134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ED14A80">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响应内容（投标产品参数/应答情况）</w:t>
            </w:r>
          </w:p>
        </w:tc>
        <w:tc>
          <w:tcPr>
            <w:tcW w:w="1342"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551A9A">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偏离情况（正偏离/负偏离/无偏离）</w:t>
            </w:r>
          </w:p>
        </w:tc>
      </w:tr>
      <w:tr w14:paraId="5EB799FA">
        <w:tblPrEx>
          <w:tblCellMar>
            <w:top w:w="0" w:type="dxa"/>
            <w:left w:w="10" w:type="dxa"/>
            <w:bottom w:w="0" w:type="dxa"/>
            <w:right w:w="10" w:type="dxa"/>
          </w:tblCellMar>
        </w:tblPrEx>
        <w:trPr>
          <w:trHeight w:val="567" w:hRule="atLeast"/>
        </w:trPr>
        <w:tc>
          <w:tcPr>
            <w:tcW w:w="61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B34EB89">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704"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F43C61">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833292">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2"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116B1B">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1D802C0A">
        <w:tblPrEx>
          <w:tblCellMar>
            <w:top w:w="0" w:type="dxa"/>
            <w:left w:w="10" w:type="dxa"/>
            <w:bottom w:w="0" w:type="dxa"/>
            <w:right w:w="10" w:type="dxa"/>
          </w:tblCellMar>
        </w:tblPrEx>
        <w:trPr>
          <w:trHeight w:val="567" w:hRule="atLeast"/>
        </w:trPr>
        <w:tc>
          <w:tcPr>
            <w:tcW w:w="61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1CF4139">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704"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C230EB3">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A6A48E6">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2"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1244EF">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40C81ED7">
        <w:tblPrEx>
          <w:tblCellMar>
            <w:top w:w="0" w:type="dxa"/>
            <w:left w:w="10" w:type="dxa"/>
            <w:bottom w:w="0" w:type="dxa"/>
            <w:right w:w="10" w:type="dxa"/>
          </w:tblCellMar>
        </w:tblPrEx>
        <w:trPr>
          <w:trHeight w:val="567" w:hRule="atLeast"/>
        </w:trPr>
        <w:tc>
          <w:tcPr>
            <w:tcW w:w="61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F3A9486">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704"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493C60">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9724DC">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2"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00F2AD">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12CD7178">
        <w:tblPrEx>
          <w:tblCellMar>
            <w:top w:w="0" w:type="dxa"/>
            <w:left w:w="10" w:type="dxa"/>
            <w:bottom w:w="0" w:type="dxa"/>
            <w:right w:w="10" w:type="dxa"/>
          </w:tblCellMar>
        </w:tblPrEx>
        <w:trPr>
          <w:trHeight w:val="567" w:hRule="atLeast"/>
        </w:trPr>
        <w:tc>
          <w:tcPr>
            <w:tcW w:w="61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C53917">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704"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3ACA1A">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C083CC">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c>
          <w:tcPr>
            <w:tcW w:w="1342"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7B0B02">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bl>
    <w:p w14:paraId="7FC04A9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注：遴选申请人必须据实填写，不得虚假应答，否则将取消其中选资格。如与遴选文件第四章商务要求、技术参数要求的内容有偏离(包括正偏离和负偏离)，请将偏离条款逐条应答。</w:t>
      </w:r>
      <w:r>
        <w:rPr>
          <w:rFonts w:hint="eastAsia" w:ascii="仿宋" w:hAnsi="仿宋" w:eastAsia="仿宋" w:cs="仿宋"/>
          <w:b/>
          <w:bCs/>
          <w:color w:val="auto"/>
          <w:spacing w:val="0"/>
          <w:sz w:val="24"/>
          <w:szCs w:val="24"/>
          <w:highlight w:val="none"/>
        </w:rPr>
        <w:t>如与遴选文件商务要求或技术服务要求的所有条款无偏离，则无须在此表中应答，视为默认完全响应和接受第四章所有的内容，遴选申请人不得以未作应答而拒不接受</w:t>
      </w:r>
      <w:r>
        <w:rPr>
          <w:rFonts w:hint="eastAsia" w:ascii="仿宋" w:hAnsi="仿宋" w:eastAsia="仿宋" w:cs="仿宋"/>
          <w:color w:val="auto"/>
          <w:spacing w:val="0"/>
          <w:sz w:val="24"/>
          <w:szCs w:val="24"/>
          <w:highlight w:val="none"/>
        </w:rPr>
        <w:t>。</w:t>
      </w:r>
    </w:p>
    <w:p w14:paraId="5DB317D9">
      <w:pPr>
        <w:pageBreakBefore w:val="0"/>
        <w:kinsoku/>
        <w:wordWrap/>
        <w:overflowPunct/>
        <w:topLinePunct w:val="0"/>
        <w:bidi w:val="0"/>
        <w:snapToGrid/>
        <w:spacing w:line="0" w:lineRule="atLeast"/>
        <w:ind w:firstLine="490"/>
        <w:jc w:val="left"/>
        <w:rPr>
          <w:rFonts w:hint="eastAsia" w:ascii="仿宋" w:hAnsi="仿宋" w:eastAsia="仿宋" w:cs="仿宋"/>
          <w:color w:val="auto"/>
          <w:spacing w:val="0"/>
          <w:sz w:val="24"/>
          <w:szCs w:val="24"/>
          <w:highlight w:val="none"/>
        </w:rPr>
      </w:pPr>
    </w:p>
    <w:p w14:paraId="6DAA276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遴选申请人名称：（盖章）</w:t>
      </w:r>
    </w:p>
    <w:p w14:paraId="660639E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法定代表人或授权代表（签字）：</w:t>
      </w:r>
    </w:p>
    <w:p w14:paraId="27AFC613">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遴选日期：X年X月X日</w:t>
      </w:r>
    </w:p>
    <w:p w14:paraId="795583B3">
      <w:pPr>
        <w:pageBreakBefore w:val="0"/>
        <w:widowControl/>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br w:type="page"/>
      </w:r>
    </w:p>
    <w:p w14:paraId="33A25877">
      <w:pPr>
        <w:pStyle w:val="3"/>
        <w:pageBreakBefore w:val="0"/>
        <w:kinsoku/>
        <w:wordWrap/>
        <w:overflowPunct/>
        <w:topLinePunct w:val="0"/>
        <w:bidi w:val="0"/>
        <w:snapToGrid/>
        <w:spacing w:before="0" w:after="0" w:line="0" w:lineRule="atLeast"/>
        <w:rPr>
          <w:rFonts w:hint="eastAsia" w:ascii="仿宋" w:hAnsi="仿宋" w:eastAsia="仿宋" w:cs="仿宋"/>
          <w:b w:val="0"/>
          <w:color w:val="auto"/>
          <w:spacing w:val="0"/>
          <w:sz w:val="30"/>
          <w:szCs w:val="30"/>
          <w:highlight w:val="none"/>
        </w:rPr>
      </w:pPr>
      <w:r>
        <w:rPr>
          <w:rFonts w:hint="eastAsia" w:ascii="仿宋" w:hAnsi="仿宋" w:eastAsia="仿宋" w:cs="仿宋"/>
          <w:bCs w:val="0"/>
          <w:color w:val="auto"/>
          <w:spacing w:val="0"/>
          <w:sz w:val="30"/>
          <w:szCs w:val="30"/>
          <w:highlight w:val="none"/>
        </w:rPr>
        <w:t>6、遴选申请人认为可提供的</w:t>
      </w:r>
      <w:r>
        <w:rPr>
          <w:rFonts w:hint="eastAsia" w:ascii="仿宋" w:hAnsi="仿宋" w:eastAsia="仿宋" w:cs="仿宋"/>
          <w:bCs w:val="0"/>
          <w:color w:val="auto"/>
          <w:spacing w:val="0"/>
          <w:sz w:val="30"/>
          <w:szCs w:val="30"/>
          <w:highlight w:val="none"/>
          <w:u w:val="single"/>
        </w:rPr>
        <w:t>其他证明材料</w:t>
      </w:r>
    </w:p>
    <w:p w14:paraId="4E026434">
      <w:pPr>
        <w:keepNext/>
        <w:keepLines/>
        <w:pageBreakBefore w:val="0"/>
        <w:kinsoku/>
        <w:wordWrap/>
        <w:overflowPunct/>
        <w:topLinePunct w:val="0"/>
        <w:bidi w:val="0"/>
        <w:snapToGrid/>
        <w:spacing w:line="0" w:lineRule="atLeast"/>
        <w:ind w:firstLine="0"/>
        <w:jc w:val="center"/>
        <w:rPr>
          <w:rFonts w:hint="eastAsia" w:ascii="仿宋" w:hAnsi="仿宋" w:eastAsia="仿宋" w:cs="仿宋"/>
          <w:color w:val="auto"/>
          <w:spacing w:val="0"/>
          <w:sz w:val="30"/>
          <w:szCs w:val="30"/>
          <w:highlight w:val="none"/>
        </w:rPr>
      </w:pPr>
      <w:r>
        <w:rPr>
          <w:rFonts w:hint="eastAsia" w:ascii="仿宋" w:hAnsi="仿宋" w:eastAsia="仿宋" w:cs="仿宋"/>
          <w:b/>
          <w:color w:val="auto"/>
          <w:spacing w:val="0"/>
          <w:sz w:val="30"/>
          <w:szCs w:val="30"/>
          <w:highlight w:val="none"/>
        </w:rPr>
        <w:t>（至少包含第</w:t>
      </w:r>
      <w:r>
        <w:rPr>
          <w:rFonts w:hint="eastAsia" w:ascii="仿宋" w:hAnsi="仿宋" w:eastAsia="仿宋" w:cs="仿宋"/>
          <w:b/>
          <w:color w:val="auto"/>
          <w:spacing w:val="0"/>
          <w:sz w:val="30"/>
          <w:szCs w:val="30"/>
          <w:highlight w:val="none"/>
          <w:lang w:val="en-US" w:eastAsia="zh-CN"/>
        </w:rPr>
        <w:t>三</w:t>
      </w:r>
      <w:r>
        <w:rPr>
          <w:rFonts w:hint="eastAsia" w:ascii="仿宋" w:hAnsi="仿宋" w:eastAsia="仿宋" w:cs="仿宋"/>
          <w:b/>
          <w:color w:val="auto"/>
          <w:spacing w:val="0"/>
          <w:sz w:val="30"/>
          <w:szCs w:val="30"/>
          <w:highlight w:val="none"/>
        </w:rPr>
        <w:t>章提到的要求）</w:t>
      </w:r>
      <w:r>
        <w:rPr>
          <w:rFonts w:hint="eastAsia" w:ascii="仿宋" w:hAnsi="仿宋" w:eastAsia="仿宋" w:cs="仿宋"/>
          <w:color w:val="auto"/>
          <w:spacing w:val="0"/>
          <w:sz w:val="30"/>
          <w:szCs w:val="30"/>
          <w:highlight w:val="none"/>
        </w:rPr>
        <w:t>（格式自拟，需加盖公章）</w:t>
      </w:r>
    </w:p>
    <w:p w14:paraId="50C7602F">
      <w:pPr>
        <w:pageBreakBefore w:val="0"/>
        <w:widowControl/>
        <w:kinsoku/>
        <w:wordWrap/>
        <w:overflowPunct/>
        <w:topLinePunct w:val="0"/>
        <w:bidi w:val="0"/>
        <w:snapToGrid/>
        <w:spacing w:line="0" w:lineRule="atLeast"/>
        <w:jc w:val="left"/>
        <w:rPr>
          <w:rFonts w:hint="eastAsia" w:ascii="仿宋" w:hAnsi="仿宋" w:eastAsia="仿宋" w:cs="仿宋"/>
          <w:b/>
          <w:color w:val="auto"/>
          <w:spacing w:val="0"/>
          <w:sz w:val="24"/>
          <w:szCs w:val="24"/>
          <w:highlight w:val="none"/>
        </w:rPr>
      </w:pPr>
      <w:r>
        <w:rPr>
          <w:rFonts w:hint="eastAsia"/>
          <w:b/>
          <w:bCs/>
          <w:i/>
          <w:iCs/>
          <w:color w:val="auto"/>
          <w:sz w:val="24"/>
          <w:szCs w:val="24"/>
          <w:highlight w:val="none"/>
          <w:lang w:eastAsia="zh-CN"/>
        </w:rPr>
        <w:t>包括但不限于：本项目拟派人员构成及资质证明、</w:t>
      </w:r>
      <w:r>
        <w:rPr>
          <w:rFonts w:hint="eastAsia"/>
          <w:b/>
          <w:bCs/>
          <w:i/>
          <w:iCs/>
          <w:color w:val="auto"/>
          <w:sz w:val="24"/>
          <w:szCs w:val="24"/>
          <w:highlight w:val="none"/>
        </w:rPr>
        <w:t>偿付能力证明材料</w:t>
      </w:r>
      <w:r>
        <w:rPr>
          <w:rFonts w:hint="eastAsia"/>
          <w:b/>
          <w:bCs/>
          <w:i/>
          <w:iCs/>
          <w:color w:val="auto"/>
          <w:sz w:val="24"/>
          <w:szCs w:val="24"/>
          <w:highlight w:val="none"/>
          <w:lang w:eastAsia="zh-CN"/>
        </w:rPr>
        <w:t>、过往业绩证明材料、详细服务方案、以及其他符合第三章要求的相关证明材料。</w:t>
      </w:r>
      <w:r>
        <w:rPr>
          <w:rFonts w:hint="eastAsia" w:ascii="仿宋" w:hAnsi="仿宋" w:eastAsia="仿宋" w:cs="仿宋"/>
          <w:b/>
          <w:color w:val="auto"/>
          <w:spacing w:val="0"/>
          <w:sz w:val="24"/>
          <w:szCs w:val="24"/>
          <w:highlight w:val="none"/>
        </w:rPr>
        <w:br w:type="page"/>
      </w:r>
    </w:p>
    <w:p w14:paraId="006918CF">
      <w:pPr>
        <w:pStyle w:val="2"/>
        <w:pageBreakBefore w:val="0"/>
        <w:kinsoku/>
        <w:wordWrap/>
        <w:overflowPunct/>
        <w:topLinePunct w:val="0"/>
        <w:bidi w:val="0"/>
        <w:snapToGrid/>
        <w:spacing w:before="0" w:after="0" w:line="0" w:lineRule="atLeast"/>
        <w:jc w:val="center"/>
        <w:rPr>
          <w:rFonts w:hint="eastAsia" w:ascii="仿宋" w:hAnsi="仿宋" w:eastAsia="仿宋" w:cs="仿宋"/>
          <w:bCs w:val="0"/>
          <w:color w:val="auto"/>
          <w:spacing w:val="0"/>
          <w:sz w:val="30"/>
          <w:szCs w:val="30"/>
          <w:highlight w:val="none"/>
        </w:rPr>
      </w:pPr>
      <w:bookmarkStart w:id="6" w:name="_Toc66971934"/>
      <w:bookmarkStart w:id="7" w:name="_Toc69323338"/>
      <w:r>
        <w:rPr>
          <w:rFonts w:hint="eastAsia" w:ascii="仿宋" w:hAnsi="仿宋" w:eastAsia="仿宋" w:cs="仿宋"/>
          <w:bCs w:val="0"/>
          <w:color w:val="auto"/>
          <w:spacing w:val="0"/>
          <w:sz w:val="30"/>
          <w:szCs w:val="30"/>
          <w:highlight w:val="none"/>
        </w:rPr>
        <w:t>第三章资格证明文件</w:t>
      </w:r>
      <w:bookmarkEnd w:id="6"/>
      <w:bookmarkEnd w:id="7"/>
    </w:p>
    <w:p w14:paraId="7DB0E080">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一、遴选申请人应提交的资格证明材料</w:t>
      </w:r>
    </w:p>
    <w:p w14:paraId="633B6907">
      <w:pPr>
        <w:pageBreakBefore w:val="0"/>
        <w:kinsoku/>
        <w:wordWrap/>
        <w:overflowPunct/>
        <w:topLinePunct w:val="0"/>
        <w:bidi w:val="0"/>
        <w:snapToGrid/>
        <w:spacing w:line="0" w:lineRule="atLeast"/>
        <w:ind w:firstLine="482" w:firstLineChars="20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（一）遴选申请人资格和资质性要求的相关证明材料：</w:t>
      </w:r>
    </w:p>
    <w:p w14:paraId="3DBAE07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1、具有独立承担民事责任的能力的证明材料（①遴选申请人若为企业法人的，提供统一社会信用代码营业执照，未换证的企业也可同时提供</w:t>
      </w:r>
      <w:r>
        <w:rPr>
          <w:rFonts w:hint="eastAsia" w:ascii="仿宋" w:hAnsi="仿宋" w:eastAsia="仿宋" w:cs="仿宋"/>
          <w:b w:val="0"/>
          <w:bCs w:val="0"/>
          <w:color w:val="auto"/>
          <w:spacing w:val="0"/>
          <w:sz w:val="24"/>
          <w:szCs w:val="24"/>
          <w:highlight w:val="none"/>
        </w:rPr>
        <w:t>营业执照</w:t>
      </w:r>
      <w:r>
        <w:rPr>
          <w:rFonts w:hint="eastAsia" w:ascii="仿宋" w:hAnsi="仿宋" w:eastAsia="仿宋" w:cs="仿宋"/>
          <w:color w:val="auto"/>
          <w:spacing w:val="0"/>
          <w:sz w:val="24"/>
          <w:szCs w:val="24"/>
          <w:highlight w:val="none"/>
        </w:rPr>
        <w:t>、税务登记证、组织机构代码证；②遴选申请人若为事业法人，提供统一社会信用代码法人登记证书，未换证的事业法人也可同时提交事业法人登记证书和组织机构代码证；③遴选申请人若为其他组织，提供对应主管部门颁发的准许执业证明文件或营业执照；④若为自然人：提供“身份证明材料”。以上证件均提供复印件）</w:t>
      </w:r>
    </w:p>
    <w:p w14:paraId="5CA058D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2、具有良好的商业信誉和健全的财务会计制度的证明材料{可提供承诺函原件，格式详见第二章“承诺函”}。</w:t>
      </w:r>
    </w:p>
    <w:p w14:paraId="2EADBA1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3、具有依法缴纳税收和社会保障资金的良好记录的证明材料{可提供承诺函原件，格式详见第二章“承诺函”}。</w:t>
      </w:r>
    </w:p>
    <w:p w14:paraId="121DF9F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4、具备履行合同所必需的设备和专业技术能力的证明材料（可提供承诺函原件，格式详见第二章“承诺函”）；</w:t>
      </w:r>
    </w:p>
    <w:p w14:paraId="6AC4EBB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5、参加遴选活动前三年内在经营活动中没有重大违法记录的证明材料（可提供承诺函原件，格式详见第二章“承诺函”）；</w:t>
      </w:r>
    </w:p>
    <w:p w14:paraId="695E56C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6、遴选申请人还符合法律、行政法规规定的其他强制性条件。（可提供承诺函原件，格式详见第二章“承诺函”）</w:t>
      </w:r>
    </w:p>
    <w:p w14:paraId="070AE913">
      <w:pPr>
        <w:spacing w:line="0" w:lineRule="atLeast"/>
        <w:ind w:firstLine="482" w:firstLineChars="20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7、本项目特定资格要求：</w:t>
      </w:r>
    </w:p>
    <w:p w14:paraId="672D04FD">
      <w:pPr>
        <w:spacing w:line="0" w:lineRule="atLeast"/>
        <w:ind w:firstLine="482" w:firstLineChars="200"/>
        <w:rPr>
          <w:rFonts w:hint="eastAsia" w:eastAsia="仿宋"/>
          <w:color w:val="auto"/>
          <w:highlight w:val="none"/>
          <w:lang w:eastAsia="zh-CN"/>
        </w:rPr>
      </w:pPr>
      <w:r>
        <w:rPr>
          <w:rFonts w:hint="eastAsia" w:ascii="仿宋" w:hAnsi="仿宋" w:eastAsia="仿宋" w:cs="仿宋"/>
          <w:b/>
          <w:bCs/>
          <w:color w:val="auto"/>
          <w:sz w:val="24"/>
          <w:szCs w:val="24"/>
          <w:highlight w:val="none"/>
        </w:rPr>
        <w:t>业务</w:t>
      </w:r>
      <w:r>
        <w:rPr>
          <w:rFonts w:hint="eastAsia" w:ascii="仿宋" w:hAnsi="仿宋" w:eastAsia="仿宋" w:cs="仿宋"/>
          <w:b/>
          <w:bCs/>
          <w:color w:val="auto"/>
          <w:sz w:val="24"/>
          <w:szCs w:val="24"/>
          <w:highlight w:val="none"/>
          <w:lang w:eastAsia="zh-CN"/>
        </w:rPr>
        <w:t>遴选申请人</w:t>
      </w:r>
      <w:r>
        <w:rPr>
          <w:rFonts w:hint="eastAsia" w:ascii="仿宋" w:hAnsi="仿宋" w:eastAsia="仿宋" w:cs="仿宋"/>
          <w:b/>
          <w:bCs/>
          <w:color w:val="auto"/>
          <w:sz w:val="24"/>
          <w:szCs w:val="24"/>
          <w:highlight w:val="none"/>
        </w:rPr>
        <w:t>须持有国家金融监督管理总局（或原银保监会）颁发的有效《金融许可证》（或过渡期内的原《保险许可证》），且</w:t>
      </w:r>
      <w:r>
        <w:rPr>
          <w:rFonts w:hint="eastAsia" w:ascii="仿宋" w:hAnsi="仿宋" w:eastAsia="仿宋" w:cs="仿宋"/>
          <w:b/>
          <w:bCs/>
          <w:color w:val="auto"/>
          <w:sz w:val="24"/>
          <w:szCs w:val="24"/>
          <w:highlight w:val="none"/>
          <w:lang w:val="en-US" w:eastAsia="zh-CN"/>
        </w:rPr>
        <w:t>许可证核准的</w:t>
      </w:r>
      <w:r>
        <w:rPr>
          <w:rFonts w:hint="eastAsia" w:ascii="仿宋" w:hAnsi="仿宋" w:eastAsia="仿宋" w:cs="仿宋"/>
          <w:b/>
          <w:bCs/>
          <w:color w:val="auto"/>
          <w:sz w:val="24"/>
          <w:szCs w:val="24"/>
          <w:highlight w:val="none"/>
        </w:rPr>
        <w:t>经营范围包含</w:t>
      </w:r>
      <w:r>
        <w:rPr>
          <w:rFonts w:hint="eastAsia" w:ascii="仿宋" w:hAnsi="仿宋" w:eastAsia="仿宋" w:cs="仿宋"/>
          <w:b/>
          <w:bCs/>
          <w:color w:val="auto"/>
          <w:sz w:val="24"/>
          <w:szCs w:val="24"/>
          <w:highlight w:val="none"/>
          <w:lang w:eastAsia="zh-CN"/>
        </w:rPr>
        <w:t>“健康保险”或“意外伤害险”。</w:t>
      </w:r>
    </w:p>
    <w:p w14:paraId="7ECEAFCF">
      <w:pPr>
        <w:pageBreakBefore w:val="0"/>
        <w:kinsoku/>
        <w:wordWrap/>
        <w:overflowPunct/>
        <w:topLinePunct w:val="0"/>
        <w:bidi w:val="0"/>
        <w:snapToGrid/>
        <w:spacing w:line="0" w:lineRule="atLeast"/>
        <w:ind w:firstLine="482" w:firstLineChars="20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（二）其他类似效力要求相关证明材料：</w:t>
      </w:r>
    </w:p>
    <w:p w14:paraId="69B6CEA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1、非法定代表人参与遴选并签署响应文件时，提供法定代表人授权书原件以及法定代表人和授权代表的身份证复印件（提供身份证有困难的，也可提供户口本或军官证或护照等身份证明材料）；</w:t>
      </w:r>
    </w:p>
    <w:p w14:paraId="76945332">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2、法定代表人直接参与遴选并签署响应文件时，提供法定代表人证明书原件和法定代表人身份证复印件（提供身份证有困难的，也可提供户口本或军官证或护照等身份证明材料）。</w:t>
      </w:r>
    </w:p>
    <w:p w14:paraId="735AE6A3">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注：</w:t>
      </w:r>
    </w:p>
    <w:p w14:paraId="08E28768">
      <w:pPr>
        <w:pageBreakBefore w:val="0"/>
        <w:numPr>
          <w:ilvl w:val="0"/>
          <w:numId w:val="0"/>
        </w:numPr>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kern w:val="2"/>
          <w:sz w:val="24"/>
          <w:szCs w:val="24"/>
          <w:highlight w:val="none"/>
          <w:lang w:val="en-US" w:eastAsia="zh-CN" w:bidi="ar-SA"/>
        </w:rPr>
        <w:t>1、</w:t>
      </w:r>
      <w:r>
        <w:rPr>
          <w:rFonts w:hint="eastAsia" w:ascii="仿宋" w:hAnsi="仿宋" w:eastAsia="仿宋" w:cs="仿宋"/>
          <w:color w:val="auto"/>
          <w:spacing w:val="0"/>
          <w:sz w:val="24"/>
          <w:szCs w:val="24"/>
          <w:highlight w:val="none"/>
        </w:rPr>
        <w:t>以上要求的资料均须加盖遴选申请人单位的公章（鲜章），否则不予认定。</w:t>
      </w:r>
    </w:p>
    <w:p w14:paraId="3DF97F4E">
      <w:pPr>
        <w:pageBreakBefore w:val="0"/>
        <w:numPr>
          <w:ilvl w:val="0"/>
          <w:numId w:val="0"/>
        </w:numPr>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2、本项目中的重大违法记录是指遴选申请人因违法经营受到刑事处罚或者责令停产停业、吊销许可证或者执照、较大数额罚款等行政处罚。确定遴选申请人重大违法记录中较大数额罚款的金额标准是指：若采购项目所属行业行政主管部门对较大数额罚款金额标准有明文规定的，以所属行业行政主管部门规定的较大数额罚款金额标准为准；若采购项目所属行业行政主管部门对较大数额罚款金额标准未明文规定的，以处罚所在地省级人民政府规定的行政处罚罚款听证金额标准为准。</w:t>
      </w:r>
    </w:p>
    <w:p w14:paraId="716ACF05">
      <w:pPr>
        <w:pStyle w:val="20"/>
        <w:pageBreakBefore w:val="0"/>
        <w:numPr>
          <w:ilvl w:val="4"/>
          <w:numId w:val="0"/>
        </w:numPr>
        <w:kinsoku/>
        <w:overflowPunct/>
        <w:topLinePunct w:val="0"/>
        <w:bidi w:val="0"/>
        <w:spacing w:before="0" w:after="0"/>
        <w:ind w:leftChars="0"/>
        <w:rPr>
          <w:rFonts w:hint="eastAsia"/>
          <w:color w:val="auto"/>
          <w:highlight w:val="none"/>
        </w:rPr>
      </w:pPr>
      <w:bookmarkStart w:id="8" w:name="_Toc66971935"/>
      <w:bookmarkStart w:id="9" w:name="_Toc69323339"/>
    </w:p>
    <w:p w14:paraId="335744F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p>
    <w:p w14:paraId="0349CE21">
      <w:pPr>
        <w:pageBreakBefore w:val="0"/>
        <w:widowControl/>
        <w:kinsoku/>
        <w:wordWrap/>
        <w:overflowPunct/>
        <w:topLinePunct w:val="0"/>
        <w:bidi w:val="0"/>
        <w:snapToGrid/>
        <w:spacing w:line="0" w:lineRule="atLeast"/>
        <w:jc w:val="lef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br w:type="page"/>
      </w:r>
    </w:p>
    <w:p w14:paraId="4BC3CF4A">
      <w:pPr>
        <w:pStyle w:val="2"/>
        <w:pageBreakBefore w:val="0"/>
        <w:kinsoku/>
        <w:wordWrap/>
        <w:overflowPunct/>
        <w:topLinePunct w:val="0"/>
        <w:bidi w:val="0"/>
        <w:snapToGrid/>
        <w:spacing w:before="0" w:after="0" w:line="0" w:lineRule="atLeast"/>
        <w:jc w:val="center"/>
        <w:rPr>
          <w:rFonts w:hint="eastAsia" w:ascii="仿宋" w:hAnsi="仿宋" w:eastAsia="仿宋" w:cs="仿宋"/>
          <w:bCs w:val="0"/>
          <w:color w:val="auto"/>
          <w:spacing w:val="0"/>
          <w:sz w:val="30"/>
          <w:szCs w:val="30"/>
          <w:highlight w:val="none"/>
        </w:rPr>
      </w:pPr>
      <w:r>
        <w:rPr>
          <w:rFonts w:hint="eastAsia" w:ascii="仿宋" w:hAnsi="仿宋" w:eastAsia="仿宋" w:cs="仿宋"/>
          <w:bCs w:val="0"/>
          <w:color w:val="auto"/>
          <w:spacing w:val="0"/>
          <w:sz w:val="30"/>
          <w:szCs w:val="30"/>
          <w:highlight w:val="none"/>
        </w:rPr>
        <w:t>第四章遴选需求</w:t>
      </w:r>
      <w:bookmarkEnd w:id="8"/>
      <w:bookmarkEnd w:id="9"/>
    </w:p>
    <w:p w14:paraId="4558A273">
      <w:pPr>
        <w:pageBreakBefore w:val="0"/>
        <w:kinsoku/>
        <w:wordWrap/>
        <w:overflowPunct/>
        <w:topLinePunct w:val="0"/>
        <w:bidi w:val="0"/>
        <w:snapToGrid/>
        <w:spacing w:line="0" w:lineRule="atLeast"/>
        <w:ind w:firstLine="482" w:firstLineChars="200"/>
        <w:rPr>
          <w:rFonts w:hint="eastAsia" w:ascii="仿宋" w:hAnsi="仿宋" w:eastAsia="仿宋" w:cs="仿宋"/>
          <w:b/>
          <w:bCs/>
          <w:color w:val="auto"/>
          <w:spacing w:val="0"/>
          <w:sz w:val="24"/>
          <w:szCs w:val="24"/>
          <w:highlight w:val="none"/>
        </w:rPr>
      </w:pPr>
      <w:r>
        <w:rPr>
          <w:rFonts w:hint="eastAsia" w:ascii="仿宋" w:hAnsi="仿宋" w:eastAsia="仿宋" w:cs="仿宋"/>
          <w:b/>
          <w:bCs/>
          <w:color w:val="auto"/>
          <w:spacing w:val="0"/>
          <w:sz w:val="24"/>
          <w:szCs w:val="24"/>
          <w:highlight w:val="none"/>
        </w:rPr>
        <w:t>前提：本章中标注“</w:t>
      </w:r>
      <w:r>
        <w:rPr>
          <w:rFonts w:hint="eastAsia" w:ascii="仿宋" w:hAnsi="仿宋" w:eastAsia="仿宋" w:cs="仿宋"/>
          <w:b/>
          <w:bCs/>
          <w:color w:val="auto"/>
          <w:spacing w:val="0"/>
          <w:sz w:val="24"/>
          <w:szCs w:val="24"/>
          <w:highlight w:val="none"/>
          <w:lang w:eastAsia="zh-CN"/>
        </w:rPr>
        <w:t>★</w:t>
      </w:r>
      <w:r>
        <w:rPr>
          <w:rFonts w:hint="eastAsia" w:ascii="仿宋" w:hAnsi="仿宋" w:eastAsia="仿宋" w:cs="仿宋"/>
          <w:b/>
          <w:bCs/>
          <w:color w:val="auto"/>
          <w:spacing w:val="0"/>
          <w:sz w:val="24"/>
          <w:szCs w:val="24"/>
          <w:highlight w:val="none"/>
        </w:rPr>
        <w:t>”的条款为本项目的实质性要求条款，遴选申请人不满足的，符合性审查时将不予通过，其遴选申请文件视为无效文件。</w:t>
      </w:r>
    </w:p>
    <w:p w14:paraId="10B5C826">
      <w:pPr>
        <w:pageBreakBefore w:val="0"/>
        <w:kinsoku/>
        <w:wordWrap/>
        <w:overflowPunct/>
        <w:topLinePunct w:val="0"/>
        <w:bidi w:val="0"/>
        <w:snapToGrid/>
        <w:spacing w:line="0" w:lineRule="atLeast"/>
        <w:ind w:firstLine="482" w:firstLineChars="200"/>
        <w:rPr>
          <w:rFonts w:hint="eastAsia" w:ascii="仿宋" w:hAnsi="仿宋" w:eastAsia="仿宋" w:cs="仿宋"/>
          <w:color w:val="auto"/>
          <w:spacing w:val="0"/>
          <w:sz w:val="24"/>
          <w:szCs w:val="24"/>
          <w:highlight w:val="none"/>
        </w:rPr>
      </w:pPr>
      <w:r>
        <w:rPr>
          <w:rFonts w:hint="eastAsia" w:ascii="仿宋" w:hAnsi="仿宋" w:eastAsia="仿宋" w:cs="仿宋"/>
          <w:b/>
          <w:bCs/>
          <w:color w:val="auto"/>
          <w:spacing w:val="0"/>
          <w:sz w:val="24"/>
          <w:szCs w:val="24"/>
          <w:highlight w:val="none"/>
        </w:rPr>
        <w:t>一、项目概况</w:t>
      </w:r>
    </w:p>
    <w:p w14:paraId="4DEA8788">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本项目共1个包，01包采购成都市成华区第七人民医院</w:t>
      </w:r>
      <w:r>
        <w:rPr>
          <w:rFonts w:hint="eastAsia" w:ascii="仿宋" w:hAnsi="仿宋" w:eastAsia="仿宋" w:cs="仿宋"/>
          <w:color w:val="auto"/>
          <w:sz w:val="24"/>
          <w:szCs w:val="24"/>
          <w:highlight w:val="none"/>
          <w:lang w:eastAsia="zh-CN"/>
        </w:rPr>
        <w:t>2026-2028年职工补充医疗保险遴选项目（第二次）</w:t>
      </w:r>
      <w:r>
        <w:rPr>
          <w:rFonts w:hint="eastAsia" w:ascii="仿宋" w:hAnsi="仿宋" w:eastAsia="仿宋" w:cs="仿宋"/>
          <w:color w:val="auto"/>
          <w:sz w:val="24"/>
          <w:szCs w:val="24"/>
          <w:highlight w:val="none"/>
        </w:rPr>
        <w:t>，拟遴选申请人1名。</w:t>
      </w:r>
    </w:p>
    <w:p w14:paraId="3CDBB292">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（一）拟投保规模：</w:t>
      </w:r>
    </w:p>
    <w:p w14:paraId="75B2CB23">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rPr>
        <w:t>拟投保在职职工总数（含临床、护理、医技、药学、行政、后勤等相关岗位人员）约220人；其他人员：</w:t>
      </w:r>
      <w:r>
        <w:rPr>
          <w:rFonts w:hint="eastAsia" w:ascii="仿宋" w:hAnsi="仿宋" w:eastAsia="仿宋" w:cs="仿宋"/>
          <w:b w:val="0"/>
          <w:bCs w:val="0"/>
          <w:color w:val="auto"/>
          <w:sz w:val="24"/>
          <w:szCs w:val="24"/>
          <w:highlight w:val="none"/>
          <w:lang w:val="en-US" w:eastAsia="zh-CN"/>
        </w:rPr>
        <w:t>约</w:t>
      </w:r>
      <w:r>
        <w:rPr>
          <w:rFonts w:hint="eastAsia" w:ascii="仿宋" w:hAnsi="仿宋" w:eastAsia="仿宋" w:cs="仿宋"/>
          <w:b w:val="0"/>
          <w:bCs w:val="0"/>
          <w:color w:val="auto"/>
          <w:sz w:val="24"/>
          <w:szCs w:val="24"/>
          <w:highlight w:val="none"/>
        </w:rPr>
        <w:t>10人。</w:t>
      </w:r>
    </w:p>
    <w:p w14:paraId="42B3BD67">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rPr>
        <w:t>人员结构及年龄段分布：</w:t>
      </w:r>
    </w:p>
    <w:p w14:paraId="45BEF758">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年龄段：30岁及以下占比约28.26%，31-50岁占比约65.65%，51岁及以上占比约6.09%。</w:t>
      </w:r>
    </w:p>
    <w:p w14:paraId="1EE16346">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（二）人员变动说明：</w:t>
      </w:r>
    </w:p>
    <w:p w14:paraId="664E8C15">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1、</w:t>
      </w:r>
      <w:r>
        <w:rPr>
          <w:rFonts w:hint="eastAsia" w:ascii="仿宋" w:hAnsi="仿宋" w:eastAsia="仿宋" w:cs="仿宋"/>
          <w:b w:val="0"/>
          <w:bCs w:val="0"/>
          <w:color w:val="auto"/>
          <w:sz w:val="24"/>
          <w:szCs w:val="24"/>
          <w:highlight w:val="none"/>
        </w:rPr>
        <w:t>本项目保险期间内，如因医院发展、扩招等原因导致参保职工人数增加，新增保费按实际新增人数及中标单价据实结算，但年度总保费上浮幅度不得超过原合同年度总金额的10%。</w:t>
      </w:r>
    </w:p>
    <w:p w14:paraId="75286E5E">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2、</w:t>
      </w:r>
      <w:r>
        <w:rPr>
          <w:rFonts w:hint="eastAsia" w:ascii="仿宋" w:hAnsi="仿宋" w:eastAsia="仿宋" w:cs="仿宋"/>
          <w:b w:val="0"/>
          <w:bCs w:val="0"/>
          <w:color w:val="auto"/>
          <w:sz w:val="24"/>
          <w:szCs w:val="24"/>
          <w:highlight w:val="none"/>
        </w:rPr>
        <w:t>若核算后的新增保费未超过原合同年度金额的10%，据实结算。新增人员保费按实际在保天数折算（公式：日保费=年保费/365天）。保险公司须无条件承保，不得以人员结构变化、岗位风险增加等为由提高保费、降低赔付比例或拒绝理赔。</w:t>
      </w:r>
    </w:p>
    <w:p w14:paraId="35E3562E">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若因扩招导致新增保费超过原合同年度金额10%的，超出10%以上的部分不在本合同保障范围内，由采购人按规定另行组织采购。</w:t>
      </w:r>
    </w:p>
    <w:p w14:paraId="5AA7FEF8">
      <w:pPr>
        <w:spacing w:line="0" w:lineRule="atLeast"/>
        <w:ind w:firstLine="480" w:firstLineChars="200"/>
        <w:rPr>
          <w:rFonts w:hint="eastAsia" w:ascii="仿宋" w:hAnsi="仿宋" w:eastAsia="仿宋" w:cs="仿宋"/>
          <w:b w:val="0"/>
          <w:bCs w:val="0"/>
          <w:color w:val="auto"/>
          <w:spacing w:val="0"/>
          <w:sz w:val="24"/>
          <w:szCs w:val="24"/>
          <w:highlight w:val="none"/>
          <w:lang w:val="en-US" w:eastAsia="zh-CN"/>
        </w:rPr>
      </w:pPr>
    </w:p>
    <w:p w14:paraId="6057FFA7">
      <w:pPr>
        <w:spacing w:line="0" w:lineRule="atLeast"/>
        <w:ind w:firstLine="482" w:firstLineChars="200"/>
        <w:rPr>
          <w:rFonts w:hint="eastAsia" w:ascii="仿宋" w:hAnsi="仿宋" w:eastAsia="仿宋" w:cs="仿宋"/>
          <w:b/>
          <w:bCs/>
          <w:color w:val="auto"/>
          <w:spacing w:val="0"/>
          <w:sz w:val="24"/>
          <w:szCs w:val="24"/>
          <w:highlight w:val="none"/>
          <w:lang w:val="en-US" w:eastAsia="zh-CN"/>
        </w:rPr>
      </w:pPr>
      <w:r>
        <w:rPr>
          <w:rFonts w:hint="eastAsia" w:ascii="仿宋" w:hAnsi="仿宋" w:eastAsia="仿宋" w:cs="仿宋"/>
          <w:b/>
          <w:bCs/>
          <w:color w:val="auto"/>
          <w:spacing w:val="0"/>
          <w:sz w:val="24"/>
          <w:szCs w:val="24"/>
          <w:highlight w:val="none"/>
          <w:lang w:val="en-US" w:eastAsia="zh-CN"/>
        </w:rPr>
        <w:t>二、★职工补充医疗保险赔偿限额标准（实质性条款）</w:t>
      </w:r>
    </w:p>
    <w:p w14:paraId="5C473643">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z w:val="24"/>
          <w:szCs w:val="24"/>
          <w:highlight w:val="none"/>
        </w:rPr>
        <w:t>（一）</w:t>
      </w:r>
      <w:r>
        <w:rPr>
          <w:rFonts w:hint="eastAsia" w:ascii="仿宋" w:hAnsi="仿宋" w:eastAsia="仿宋" w:cs="仿宋"/>
          <w:b w:val="0"/>
          <w:bCs w:val="0"/>
          <w:color w:val="auto"/>
          <w:spacing w:val="0"/>
          <w:sz w:val="24"/>
          <w:szCs w:val="24"/>
          <w:highlight w:val="none"/>
          <w:lang w:eastAsia="zh-CN"/>
        </w:rPr>
        <w:t>在职职工保障方案（限价270元/人/年，共220人）</w:t>
      </w:r>
    </w:p>
    <w:p w14:paraId="66F9E5A7">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val="en-US" w:eastAsia="zh-CN"/>
        </w:rPr>
        <w:t>1、</w:t>
      </w:r>
      <w:r>
        <w:rPr>
          <w:rFonts w:hint="eastAsia" w:ascii="仿宋" w:hAnsi="仿宋" w:eastAsia="仿宋" w:cs="仿宋"/>
          <w:b w:val="0"/>
          <w:bCs w:val="0"/>
          <w:color w:val="auto"/>
          <w:spacing w:val="0"/>
          <w:sz w:val="24"/>
          <w:szCs w:val="24"/>
          <w:highlight w:val="none"/>
          <w:lang w:eastAsia="zh-CN"/>
        </w:rPr>
        <w:t>重大疾病保障：保障病种范围不少于10种，最低保额为1.8万元。</w:t>
      </w:r>
    </w:p>
    <w:p w14:paraId="18D823C9">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val="en-US" w:eastAsia="zh-CN"/>
        </w:rPr>
        <w:t>2、</w:t>
      </w:r>
      <w:r>
        <w:rPr>
          <w:rFonts w:hint="eastAsia" w:ascii="仿宋" w:hAnsi="仿宋" w:eastAsia="仿宋" w:cs="仿宋"/>
          <w:b w:val="0"/>
          <w:bCs w:val="0"/>
          <w:color w:val="auto"/>
          <w:spacing w:val="0"/>
          <w:sz w:val="24"/>
          <w:szCs w:val="24"/>
          <w:highlight w:val="none"/>
          <w:lang w:eastAsia="zh-CN"/>
        </w:rPr>
        <w:t>意外保障：</w:t>
      </w:r>
    </w:p>
    <w:p w14:paraId="33E7B076">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eastAsia="zh-CN"/>
        </w:rPr>
        <w:t>（1）意外身故/伤残保障：最低保额为8万元。</w:t>
      </w:r>
    </w:p>
    <w:p w14:paraId="49B5206F">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eastAsia="zh-CN"/>
        </w:rPr>
        <w:t>（2）意外住院医疗保障：最低保额为1万元。</w:t>
      </w:r>
    </w:p>
    <w:p w14:paraId="5F1B680F">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val="en-US" w:eastAsia="zh-CN"/>
        </w:rPr>
        <w:t>3、</w:t>
      </w:r>
      <w:r>
        <w:rPr>
          <w:rFonts w:hint="eastAsia" w:ascii="仿宋" w:hAnsi="仿宋" w:eastAsia="仿宋" w:cs="仿宋"/>
          <w:b w:val="0"/>
          <w:bCs w:val="0"/>
          <w:color w:val="auto"/>
          <w:spacing w:val="0"/>
          <w:sz w:val="24"/>
          <w:szCs w:val="24"/>
          <w:highlight w:val="none"/>
          <w:lang w:eastAsia="zh-CN"/>
        </w:rPr>
        <w:t>住院津贴：</w:t>
      </w:r>
    </w:p>
    <w:p w14:paraId="318FC43C">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eastAsia="zh-CN"/>
        </w:rPr>
        <w:t>（1）疾病住院补贴：最低保障标准为50元/天。</w:t>
      </w:r>
    </w:p>
    <w:p w14:paraId="5BFA5B90">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pacing w:val="0"/>
          <w:sz w:val="24"/>
          <w:szCs w:val="24"/>
          <w:highlight w:val="none"/>
          <w:lang w:eastAsia="zh-CN"/>
        </w:rPr>
        <w:t>（2）意外住院补贴：最低保障标准为50元/天。</w:t>
      </w:r>
    </w:p>
    <w:p w14:paraId="50C60978">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z w:val="24"/>
          <w:szCs w:val="24"/>
          <w:highlight w:val="none"/>
        </w:rPr>
        <w:t>（二）</w:t>
      </w:r>
      <w:r>
        <w:rPr>
          <w:rFonts w:hint="eastAsia" w:ascii="仿宋" w:hAnsi="仿宋" w:eastAsia="仿宋" w:cs="仿宋"/>
          <w:b w:val="0"/>
          <w:bCs w:val="0"/>
          <w:color w:val="auto"/>
          <w:spacing w:val="0"/>
          <w:sz w:val="24"/>
          <w:szCs w:val="24"/>
          <w:highlight w:val="none"/>
          <w:lang w:eastAsia="zh-CN"/>
        </w:rPr>
        <w:t>单独个人保障方案（限价120元/人/年，共10人）</w:t>
      </w:r>
    </w:p>
    <w:p w14:paraId="47A63437">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val="en-US" w:eastAsia="zh-CN"/>
        </w:rPr>
        <w:t>1、</w:t>
      </w:r>
      <w:r>
        <w:rPr>
          <w:rFonts w:hint="eastAsia" w:ascii="仿宋" w:hAnsi="仿宋" w:eastAsia="仿宋" w:cs="仿宋"/>
          <w:b w:val="0"/>
          <w:bCs w:val="0"/>
          <w:color w:val="auto"/>
          <w:spacing w:val="0"/>
          <w:sz w:val="24"/>
          <w:szCs w:val="24"/>
          <w:highlight w:val="none"/>
          <w:lang w:eastAsia="zh-CN"/>
        </w:rPr>
        <w:t>意外保障：</w:t>
      </w:r>
    </w:p>
    <w:p w14:paraId="77DBA393">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eastAsia="zh-CN"/>
        </w:rPr>
        <w:t>（1）意外身故/伤残保障：最低保额为10万元。</w:t>
      </w:r>
    </w:p>
    <w:p w14:paraId="49E5D736">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eastAsia="zh-CN"/>
        </w:rPr>
        <w:t>（2）意外住院医疗保障：最低保额为1万元。</w:t>
      </w:r>
    </w:p>
    <w:p w14:paraId="128B31F5">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val="en-US" w:eastAsia="zh-CN"/>
        </w:rPr>
        <w:t>2、</w:t>
      </w:r>
      <w:r>
        <w:rPr>
          <w:rFonts w:hint="eastAsia" w:ascii="仿宋" w:hAnsi="仿宋" w:eastAsia="仿宋" w:cs="仿宋"/>
          <w:b w:val="0"/>
          <w:bCs w:val="0"/>
          <w:color w:val="auto"/>
          <w:spacing w:val="0"/>
          <w:sz w:val="24"/>
          <w:szCs w:val="24"/>
          <w:highlight w:val="none"/>
          <w:lang w:eastAsia="zh-CN"/>
        </w:rPr>
        <w:t>住院津贴：</w:t>
      </w:r>
    </w:p>
    <w:p w14:paraId="41EE90BB">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pacing w:val="0"/>
          <w:sz w:val="24"/>
          <w:szCs w:val="24"/>
          <w:highlight w:val="none"/>
          <w:lang w:eastAsia="zh-CN"/>
        </w:rPr>
        <w:t>（1）疾病住院补贴：最低保障标准为20元/天。</w:t>
      </w:r>
    </w:p>
    <w:p w14:paraId="13F48771">
      <w:pPr>
        <w:spacing w:line="0" w:lineRule="atLeast"/>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pacing w:val="0"/>
          <w:sz w:val="24"/>
          <w:szCs w:val="24"/>
          <w:highlight w:val="none"/>
          <w:lang w:eastAsia="zh-CN"/>
        </w:rPr>
        <w:t>（2）意外住院补贴：最低保障标准为50元/天。</w:t>
      </w:r>
    </w:p>
    <w:p w14:paraId="76E8D4DF">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三</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pacing w:val="0"/>
          <w:sz w:val="24"/>
          <w:szCs w:val="24"/>
          <w:highlight w:val="none"/>
          <w:lang w:eastAsia="zh-CN"/>
        </w:rPr>
        <w:t>预算汇总</w:t>
      </w:r>
    </w:p>
    <w:p w14:paraId="6146A55C">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b w:val="0"/>
          <w:bCs w:val="0"/>
          <w:color w:val="auto"/>
          <w:spacing w:val="0"/>
          <w:sz w:val="24"/>
          <w:szCs w:val="24"/>
          <w:highlight w:val="none"/>
          <w:lang w:eastAsia="zh-CN"/>
        </w:rPr>
        <w:t>本项目在职职工方案预算限价为59400元（220人×270元），单独个人方案预算限价为1,200元（10人×120元），项目合计最高限价为60600元。</w:t>
      </w:r>
    </w:p>
    <w:p w14:paraId="0DDC923B">
      <w:pPr>
        <w:spacing w:line="0" w:lineRule="atLeas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三、其他要求及服务要求</w:t>
      </w:r>
    </w:p>
    <w:p w14:paraId="0ECC8B97">
      <w:pPr>
        <w:spacing w:line="0" w:lineRule="atLeas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（一）通用服务承诺</w:t>
      </w:r>
    </w:p>
    <w:p w14:paraId="301CD89C">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服务网点要求</w:t>
      </w:r>
    </w:p>
    <w:p w14:paraId="5CE3929C">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须承诺在遴选人所在地（或周边地区）设有服务网点或分支机构，或指定专门的服务团队负责本项目，以确保满足现场响应时效要求。</w:t>
      </w:r>
    </w:p>
    <w:p w14:paraId="79F9C7E1">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现场响应机制</w:t>
      </w:r>
    </w:p>
    <w:p w14:paraId="71445992">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保险事故发生后，遴选人应立即通知</w:t>
      </w: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必须在接到通知后</w:t>
      </w:r>
      <w:r>
        <w:rPr>
          <w:rFonts w:hint="eastAsia" w:ascii="仿宋" w:hAnsi="仿宋" w:eastAsia="仿宋" w:cs="仿宋"/>
          <w:b w:val="0"/>
          <w:bCs w:val="0"/>
          <w:color w:val="auto"/>
          <w:sz w:val="24"/>
          <w:szCs w:val="24"/>
          <w:highlight w:val="none"/>
        </w:rPr>
        <w:t>60分钟内</w:t>
      </w:r>
      <w:r>
        <w:rPr>
          <w:rFonts w:hint="eastAsia" w:ascii="仿宋" w:hAnsi="仿宋" w:eastAsia="仿宋" w:cs="仿宋"/>
          <w:color w:val="auto"/>
          <w:sz w:val="24"/>
          <w:szCs w:val="24"/>
          <w:highlight w:val="none"/>
        </w:rPr>
        <w:t>指派专业人员赶到纠纷现场，双方密切配合，按照现行法律法规和程序规范处置事故。</w:t>
      </w:r>
    </w:p>
    <w:p w14:paraId="4D67F49F">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资料收集服务</w:t>
      </w:r>
    </w:p>
    <w:p w14:paraId="5C2653DC">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应主动配合遴选人收集理赔资料，并提供上门收取服务，减轻遴选人事务性负担。</w:t>
      </w:r>
    </w:p>
    <w:p w14:paraId="249EB0AE">
      <w:pPr>
        <w:spacing w:line="0" w:lineRule="atLeas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★4</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信息保密要求（实质性条款）</w:t>
      </w:r>
    </w:p>
    <w:p w14:paraId="01BF33C5">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成交</w:t>
      </w: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应当妥善保管遴选人提供的参保人员资料及各项业务数据，保守商业秘密与个人隐私，不得外泄，不得利用遴选人提供的信息为自己谋利或提供给第三方。</w:t>
      </w:r>
      <w:r>
        <w:rPr>
          <w:rFonts w:hint="eastAsia" w:ascii="仿宋" w:hAnsi="仿宋" w:eastAsia="仿宋" w:cs="仿宋"/>
          <w:b/>
          <w:bCs/>
          <w:color w:val="auto"/>
          <w:sz w:val="24"/>
          <w:szCs w:val="24"/>
          <w:highlight w:val="none"/>
        </w:rPr>
        <w:t>（注：须在响应文件中单独提供《信息保密承诺函》，格式自拟）</w:t>
      </w:r>
      <w:r>
        <w:rPr>
          <w:rFonts w:hint="eastAsia" w:ascii="仿宋" w:hAnsi="仿宋" w:eastAsia="仿宋" w:cs="仿宋"/>
          <w:color w:val="auto"/>
          <w:sz w:val="24"/>
          <w:szCs w:val="24"/>
          <w:highlight w:val="none"/>
        </w:rPr>
        <w:t>。</w:t>
      </w:r>
    </w:p>
    <w:p w14:paraId="4F2A1563">
      <w:pPr>
        <w:spacing w:line="0" w:lineRule="atLeas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★5</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安全管理责任（实质性条款）</w:t>
      </w:r>
    </w:p>
    <w:p w14:paraId="4635F3C6">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在项目实施过程中（包括现场查勘、纠纷处置等服务环节），因</w:t>
      </w: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原因发生的人身伤害及设备事故，由成交</w:t>
      </w: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自行承担全部责任。</w:t>
      </w:r>
      <w:r>
        <w:rPr>
          <w:rFonts w:hint="eastAsia" w:ascii="仿宋" w:hAnsi="仿宋" w:eastAsia="仿宋" w:cs="仿宋"/>
          <w:b/>
          <w:bCs/>
          <w:color w:val="auto"/>
          <w:sz w:val="24"/>
          <w:szCs w:val="24"/>
          <w:highlight w:val="none"/>
        </w:rPr>
        <w:t>（注：须在响应文件中单独提供《安全管理承诺函》，格式自拟）</w:t>
      </w:r>
      <w:r>
        <w:rPr>
          <w:rFonts w:hint="eastAsia" w:ascii="仿宋" w:hAnsi="仿宋" w:eastAsia="仿宋" w:cs="仿宋"/>
          <w:color w:val="auto"/>
          <w:sz w:val="24"/>
          <w:szCs w:val="24"/>
          <w:highlight w:val="none"/>
        </w:rPr>
        <w:t>。</w:t>
      </w:r>
    </w:p>
    <w:p w14:paraId="44740CCC">
      <w:pPr>
        <w:spacing w:line="0" w:lineRule="atLeast"/>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（二）服务团队及服务标准</w:t>
      </w:r>
    </w:p>
    <w:p w14:paraId="5863392C">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项目专员配置</w:t>
      </w:r>
    </w:p>
    <w:p w14:paraId="6EA80C3E">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须向遴选人配备专属项目负责人1名。</w:t>
      </w:r>
    </w:p>
    <w:p w14:paraId="07CB7088">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工作职责：</w:t>
      </w:r>
    </w:p>
    <w:p w14:paraId="3F69E290">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（1）全程参与遴选人医疗纠纷及意外事故的接待与处置；</w:t>
      </w:r>
    </w:p>
    <w:p w14:paraId="5FFD5B51">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（2）协助遴选人做好医疗风险管控及安全生产管理工作；</w:t>
      </w:r>
    </w:p>
    <w:p w14:paraId="68ACFEFD">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（3）全权负责职工补充医疗保险的理赔跟进工作；</w:t>
      </w:r>
    </w:p>
    <w:p w14:paraId="34AB7CDF">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（4）做好与遴选人及其相关部门的沟通协调、政策咨询、费用支付及投诉处理等服务。</w:t>
      </w:r>
    </w:p>
    <w:p w14:paraId="12A313BD">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专业团队支持</w:t>
      </w:r>
    </w:p>
    <w:p w14:paraId="653A023E">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应成立专门的服务团队，配备具有医学、法律、财会等专业背景的专职服务人员，确保能够提供专业的风险评估、法律援助及理赔核算服务。</w:t>
      </w:r>
    </w:p>
    <w:p w14:paraId="70990A1B">
      <w:pPr>
        <w:spacing w:line="0" w:lineRule="atLeas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咨询与受理服务</w:t>
      </w:r>
    </w:p>
    <w:p w14:paraId="26F9BF24">
      <w:pPr>
        <w:spacing w:line="0" w:lineRule="atLeast"/>
        <w:ind w:firstLine="480" w:firstLineChars="200"/>
        <w:rPr>
          <w:rFonts w:hint="eastAsia" w:ascii="仿宋" w:hAnsi="仿宋" w:eastAsia="仿宋" w:cs="仿宋"/>
          <w:b w:val="0"/>
          <w:bCs w:val="0"/>
          <w:color w:val="auto"/>
          <w:spacing w:val="0"/>
          <w:sz w:val="24"/>
          <w:szCs w:val="24"/>
          <w:highlight w:val="none"/>
          <w:lang w:eastAsia="zh-CN"/>
        </w:rPr>
      </w:pPr>
      <w:r>
        <w:rPr>
          <w:rFonts w:hint="eastAsia" w:ascii="仿宋" w:hAnsi="仿宋" w:eastAsia="仿宋" w:cs="仿宋"/>
          <w:color w:val="auto"/>
          <w:sz w:val="24"/>
          <w:szCs w:val="24"/>
          <w:highlight w:val="none"/>
          <w:lang w:eastAsia="zh-CN"/>
        </w:rPr>
        <w:t>遴选申请人</w:t>
      </w:r>
      <w:r>
        <w:rPr>
          <w:rFonts w:hint="eastAsia" w:ascii="仿宋" w:hAnsi="仿宋" w:eastAsia="仿宋" w:cs="仿宋"/>
          <w:color w:val="auto"/>
          <w:sz w:val="24"/>
          <w:szCs w:val="24"/>
          <w:highlight w:val="none"/>
        </w:rPr>
        <w:t>应设立24小时客户服务及投诉举报热线，由专人负责接听、记录及受理，确保通讯畅通。</w:t>
      </w:r>
    </w:p>
    <w:p w14:paraId="7F9FD0D2">
      <w:pPr>
        <w:pageBreakBefore w:val="0"/>
        <w:kinsoku/>
        <w:wordWrap/>
        <w:overflowPunct/>
        <w:topLinePunct w:val="0"/>
        <w:bidi w:val="0"/>
        <w:snapToGrid/>
        <w:spacing w:line="0" w:lineRule="atLeast"/>
        <w:ind w:firstLine="0" w:firstLineChars="0"/>
        <w:rPr>
          <w:rFonts w:hint="eastAsia" w:ascii="仿宋" w:hAnsi="仿宋" w:eastAsia="仿宋" w:cs="仿宋"/>
          <w:b/>
          <w:bCs/>
          <w:color w:val="auto"/>
          <w:spacing w:val="0"/>
          <w:sz w:val="24"/>
          <w:szCs w:val="24"/>
          <w:highlight w:val="none"/>
          <w:lang w:eastAsia="zh-CN"/>
        </w:rPr>
      </w:pPr>
    </w:p>
    <w:p w14:paraId="107DCFED">
      <w:pPr>
        <w:pageBreakBefore w:val="0"/>
        <w:kinsoku/>
        <w:wordWrap/>
        <w:overflowPunct/>
        <w:topLinePunct w:val="0"/>
        <w:bidi w:val="0"/>
        <w:snapToGrid/>
        <w:spacing w:line="240" w:lineRule="auto"/>
        <w:ind w:firstLine="482"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pacing w:val="0"/>
          <w:sz w:val="24"/>
          <w:szCs w:val="24"/>
          <w:highlight w:val="none"/>
          <w:lang w:eastAsia="zh-CN"/>
        </w:rPr>
        <w:t>★</w:t>
      </w:r>
      <w:r>
        <w:rPr>
          <w:rFonts w:hint="eastAsia" w:ascii="仿宋" w:hAnsi="仿宋" w:eastAsia="仿宋" w:cs="仿宋"/>
          <w:b/>
          <w:bCs/>
          <w:color w:val="auto"/>
          <w:sz w:val="24"/>
          <w:szCs w:val="24"/>
          <w:highlight w:val="none"/>
        </w:rPr>
        <w:t>四、商务要求（实质性要求）</w:t>
      </w:r>
    </w:p>
    <w:p w14:paraId="635C17EE">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1、服务交付</w:t>
      </w:r>
    </w:p>
    <w:p w14:paraId="3D58CA77">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应在合同签订后，按遴选人要求及时办理投保手续，并在收到投保名单后</w:t>
      </w:r>
      <w:r>
        <w:rPr>
          <w:rFonts w:hint="eastAsia" w:ascii="仿宋" w:hAnsi="仿宋" w:eastAsia="仿宋" w:cs="仿宋"/>
          <w:b w:val="0"/>
          <w:bCs w:val="0"/>
          <w:color w:val="auto"/>
          <w:sz w:val="24"/>
          <w:szCs w:val="24"/>
          <w:highlight w:val="none"/>
          <w:u w:val="single"/>
        </w:rPr>
        <w:t>5个工作日</w:t>
      </w:r>
      <w:r>
        <w:rPr>
          <w:rFonts w:hint="eastAsia" w:ascii="仿宋" w:hAnsi="仿宋" w:eastAsia="仿宋" w:cs="仿宋"/>
          <w:b w:val="0"/>
          <w:bCs w:val="0"/>
          <w:color w:val="auto"/>
          <w:sz w:val="24"/>
          <w:szCs w:val="24"/>
          <w:highlight w:val="none"/>
        </w:rPr>
        <w:t>内出具正式保险单。</w:t>
      </w:r>
      <w:r>
        <w:rPr>
          <w:rFonts w:hint="eastAsia" w:ascii="仿宋" w:hAnsi="仿宋" w:eastAsia="仿宋" w:cs="仿宋"/>
          <w:b w:val="0"/>
          <w:bCs w:val="0"/>
          <w:color w:val="auto"/>
          <w:sz w:val="24"/>
          <w:szCs w:val="24"/>
          <w:highlight w:val="none"/>
          <w:lang w:val="en-US" w:eastAsia="zh-CN"/>
        </w:rPr>
        <w:t>遴选申请人</w:t>
      </w:r>
      <w:r>
        <w:rPr>
          <w:rFonts w:hint="eastAsia" w:ascii="仿宋" w:hAnsi="仿宋" w:eastAsia="仿宋" w:cs="仿宋"/>
          <w:b w:val="0"/>
          <w:bCs w:val="0"/>
          <w:color w:val="auto"/>
          <w:sz w:val="24"/>
          <w:szCs w:val="24"/>
          <w:highlight w:val="none"/>
        </w:rPr>
        <w:t>接到理赔申请及完整的索赔资料后，</w:t>
      </w:r>
      <w:r>
        <w:rPr>
          <w:rFonts w:hint="eastAsia" w:ascii="仿宋" w:hAnsi="仿宋" w:eastAsia="仿宋" w:cs="仿宋"/>
          <w:b w:val="0"/>
          <w:bCs w:val="0"/>
          <w:color w:val="auto"/>
          <w:sz w:val="24"/>
          <w:szCs w:val="24"/>
          <w:highlight w:val="none"/>
          <w:lang w:val="en-US" w:eastAsia="zh-CN"/>
        </w:rPr>
        <w:t>应在7个工作日内完成保险责任核定，</w:t>
      </w:r>
      <w:r>
        <w:rPr>
          <w:rFonts w:hint="eastAsia" w:ascii="仿宋" w:hAnsi="仿宋" w:eastAsia="仿宋" w:cs="仿宋"/>
          <w:b w:val="0"/>
          <w:bCs w:val="0"/>
          <w:color w:val="auto"/>
          <w:sz w:val="24"/>
          <w:szCs w:val="24"/>
          <w:highlight w:val="none"/>
        </w:rPr>
        <w:t>对确属保险责任范围内的赔偿款在1</w:t>
      </w: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个工作日内予以赔付。</w:t>
      </w:r>
    </w:p>
    <w:p w14:paraId="422DD773">
      <w:pPr>
        <w:pageBreakBefore w:val="0"/>
        <w:kinsoku/>
        <w:wordWrap/>
        <w:overflowPunct/>
        <w:topLinePunct w:val="0"/>
        <w:bidi w:val="0"/>
        <w:snapToGrid/>
        <w:spacing w:line="24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服务期限</w:t>
      </w:r>
    </w:p>
    <w:p w14:paraId="1455F91D">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color w:val="auto"/>
          <w:sz w:val="24"/>
          <w:szCs w:val="24"/>
          <w:highlight w:val="none"/>
        </w:rPr>
        <w:t>本合同保险期间为叁年，自保单载明的起保日起至保单载明的止保日止。保险期限实行“一年一签”制，保险期限开始前，乙方应按甲方要求出具首年度正式保单，后续每年度保险期间届满前，乙方应按甲方要求出具下一年度正式保单。</w:t>
      </w:r>
    </w:p>
    <w:p w14:paraId="6FBF83FB">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、服务人群</w:t>
      </w:r>
    </w:p>
    <w:p w14:paraId="6C5001AD">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成都市成华区第七人民医院全体在职职工及单独个人（含各院区与执业场所）。</w:t>
      </w:r>
    </w:p>
    <w:p w14:paraId="06B0B1D9">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、费用结算</w:t>
      </w:r>
    </w:p>
    <w:p w14:paraId="74F0158F">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color w:val="auto"/>
          <w:sz w:val="24"/>
          <w:szCs w:val="24"/>
          <w:highlight w:val="none"/>
        </w:rPr>
        <w:t>本项目服务期为三年，合同按中标单价及预估人数计算暂定总价签订。费用结算实行“按年据实核算，总量控制”，每年度根据实际参保人数及中标单价核算年度总保费；若核算后的年度总保费未超过原合同年度金额的10%，据实结算。</w:t>
      </w:r>
    </w:p>
    <w:p w14:paraId="59A6C1A6">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5</w:t>
      </w:r>
      <w:r>
        <w:rPr>
          <w:rFonts w:hint="eastAsia" w:ascii="仿宋" w:hAnsi="仿宋" w:eastAsia="仿宋" w:cs="仿宋"/>
          <w:b w:val="0"/>
          <w:bCs w:val="0"/>
          <w:color w:val="auto"/>
          <w:sz w:val="24"/>
          <w:szCs w:val="24"/>
          <w:highlight w:val="none"/>
        </w:rPr>
        <w:t>、报价说明</w:t>
      </w:r>
    </w:p>
    <w:p w14:paraId="19F5DDC1">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报价为全包价，包含保险费、税费及服务费等所有费用，遴选人不再支付其他任何费用。</w:t>
      </w:r>
    </w:p>
    <w:p w14:paraId="5AB1D9F1">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rPr>
        <w:t>、资质与合规</w:t>
      </w:r>
    </w:p>
    <w:p w14:paraId="20833587">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提供的服务及产品须符合国家法律法规，权属清晰，不侵害第三方知识产权。</w:t>
      </w:r>
    </w:p>
    <w:p w14:paraId="61A18BC5">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7</w:t>
      </w:r>
      <w:r>
        <w:rPr>
          <w:rFonts w:hint="eastAsia" w:ascii="仿宋" w:hAnsi="仿宋" w:eastAsia="仿宋" w:cs="仿宋"/>
          <w:b w:val="0"/>
          <w:bCs w:val="0"/>
          <w:color w:val="auto"/>
          <w:sz w:val="24"/>
          <w:szCs w:val="24"/>
          <w:highlight w:val="none"/>
        </w:rPr>
        <w:t>、付款方式与进度安排</w:t>
      </w:r>
    </w:p>
    <w:p w14:paraId="2579C57F">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7</w:t>
      </w:r>
      <w:r>
        <w:rPr>
          <w:rFonts w:hint="eastAsia" w:ascii="仿宋" w:hAnsi="仿宋" w:eastAsia="仿宋" w:cs="仿宋"/>
          <w:b w:val="0"/>
          <w:bCs w:val="0"/>
          <w:color w:val="auto"/>
          <w:sz w:val="24"/>
          <w:szCs w:val="24"/>
          <w:highlight w:val="none"/>
        </w:rPr>
        <w:t>.1付款方式：</w:t>
      </w:r>
      <w:r>
        <w:rPr>
          <w:rFonts w:hint="eastAsia" w:ascii="仿宋" w:hAnsi="仿宋" w:eastAsia="仿宋" w:cs="仿宋"/>
          <w:b w:val="0"/>
          <w:bCs w:val="0"/>
          <w:color w:val="auto"/>
          <w:sz w:val="24"/>
          <w:szCs w:val="24"/>
          <w:highlight w:val="none"/>
          <w:lang w:val="en-US" w:eastAsia="zh-CN"/>
        </w:rPr>
        <w:t>按年</w:t>
      </w:r>
      <w:r>
        <w:rPr>
          <w:rFonts w:hint="eastAsia" w:ascii="仿宋" w:hAnsi="仿宋" w:eastAsia="仿宋" w:cs="仿宋"/>
          <w:b/>
          <w:bCs/>
          <w:color w:val="auto"/>
          <w:sz w:val="24"/>
          <w:szCs w:val="24"/>
          <w:highlight w:val="none"/>
        </w:rPr>
        <w:t>一次付清</w:t>
      </w:r>
      <w:r>
        <w:rPr>
          <w:rFonts w:hint="eastAsia" w:ascii="仿宋" w:hAnsi="仿宋" w:eastAsia="仿宋" w:cs="仿宋"/>
          <w:b w:val="0"/>
          <w:bCs w:val="0"/>
          <w:color w:val="auto"/>
          <w:sz w:val="24"/>
          <w:szCs w:val="24"/>
          <w:highlight w:val="none"/>
        </w:rPr>
        <w:t>。</w:t>
      </w:r>
    </w:p>
    <w:p w14:paraId="16F15423">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7</w:t>
      </w:r>
      <w:r>
        <w:rPr>
          <w:rFonts w:hint="eastAsia" w:ascii="仿宋" w:hAnsi="仿宋" w:eastAsia="仿宋" w:cs="仿宋"/>
          <w:b w:val="0"/>
          <w:bCs w:val="0"/>
          <w:color w:val="auto"/>
          <w:sz w:val="24"/>
          <w:szCs w:val="24"/>
          <w:highlight w:val="none"/>
        </w:rPr>
        <w:t>.2付款进度安排：合同签订生效，成交</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交付保单后，自满足付款条件之日起</w:t>
      </w:r>
      <w:r>
        <w:rPr>
          <w:rFonts w:hint="eastAsia" w:ascii="仿宋" w:hAnsi="仿宋" w:eastAsia="仿宋" w:cs="仿宋"/>
          <w:b/>
          <w:bCs/>
          <w:color w:val="auto"/>
          <w:sz w:val="24"/>
          <w:szCs w:val="24"/>
          <w:highlight w:val="none"/>
        </w:rPr>
        <w:t>30个工作日内</w:t>
      </w:r>
      <w:r>
        <w:rPr>
          <w:rFonts w:hint="eastAsia" w:ascii="仿宋" w:hAnsi="仿宋" w:eastAsia="仿宋" w:cs="仿宋"/>
          <w:b w:val="0"/>
          <w:bCs w:val="0"/>
          <w:color w:val="auto"/>
          <w:sz w:val="24"/>
          <w:szCs w:val="24"/>
          <w:highlight w:val="none"/>
        </w:rPr>
        <w:t>，支付</w:t>
      </w:r>
      <w:r>
        <w:rPr>
          <w:rFonts w:hint="eastAsia" w:ascii="仿宋" w:hAnsi="仿宋" w:eastAsia="仿宋" w:cs="仿宋"/>
          <w:b w:val="0"/>
          <w:bCs w:val="0"/>
          <w:color w:val="auto"/>
          <w:sz w:val="24"/>
          <w:szCs w:val="24"/>
          <w:highlight w:val="none"/>
          <w:lang w:val="en-US" w:eastAsia="zh-CN"/>
        </w:rPr>
        <w:t>当年度保费总额</w:t>
      </w:r>
      <w:r>
        <w:rPr>
          <w:rFonts w:hint="eastAsia" w:ascii="仿宋" w:hAnsi="仿宋" w:eastAsia="仿宋" w:cs="仿宋"/>
          <w:b w:val="0"/>
          <w:bCs w:val="0"/>
          <w:color w:val="auto"/>
          <w:sz w:val="24"/>
          <w:szCs w:val="24"/>
          <w:highlight w:val="none"/>
        </w:rPr>
        <w:t>的100%。</w:t>
      </w:r>
    </w:p>
    <w:p w14:paraId="757C000B">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rPr>
        <w:t>、履约验收要求</w:t>
      </w:r>
    </w:p>
    <w:p w14:paraId="32F253B9">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rPr>
        <w:t>.1按照国家相关法律法规、行业标准、技术规范进行验收。</w:t>
      </w:r>
    </w:p>
    <w:p w14:paraId="135D19EA">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rPr>
        <w:t>.2按照财库〔2016〕205号、财库〔2021〕22号文件的要求，以及遴选文件和</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的响应文件及承诺进行验收。</w:t>
      </w:r>
    </w:p>
    <w:p w14:paraId="5AD0566B">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w:t>
      </w:r>
      <w:r>
        <w:rPr>
          <w:rFonts w:hint="eastAsia" w:ascii="仿宋" w:hAnsi="仿宋" w:eastAsia="仿宋" w:cs="仿宋"/>
          <w:b w:val="0"/>
          <w:bCs w:val="0"/>
          <w:color w:val="auto"/>
          <w:sz w:val="24"/>
          <w:szCs w:val="24"/>
          <w:highlight w:val="none"/>
        </w:rPr>
        <w:t>.3如验收时双方对技术指标、服务要求等约定标准有相互抵触或异议的事项，双方须按照国家相关规定及基于本项目采购需求编制的</w:t>
      </w:r>
      <w:r>
        <w:rPr>
          <w:rFonts w:hint="eastAsia" w:ascii="仿宋" w:hAnsi="仿宋" w:eastAsia="仿宋" w:cs="仿宋"/>
          <w:b w:val="0"/>
          <w:bCs w:val="0"/>
          <w:color w:val="auto"/>
          <w:sz w:val="24"/>
          <w:szCs w:val="24"/>
          <w:highlight w:val="none"/>
          <w:lang w:eastAsia="zh-CN"/>
        </w:rPr>
        <w:t>遴选文件</w:t>
      </w:r>
      <w:r>
        <w:rPr>
          <w:rFonts w:hint="eastAsia" w:ascii="仿宋" w:hAnsi="仿宋" w:eastAsia="仿宋" w:cs="仿宋"/>
          <w:b w:val="0"/>
          <w:bCs w:val="0"/>
          <w:color w:val="auto"/>
          <w:sz w:val="24"/>
          <w:szCs w:val="24"/>
          <w:highlight w:val="none"/>
        </w:rPr>
        <w:t>相关技术、服务要求、</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响应文件相关响应内容中质量要求和技术指标较严格的原则确定该事项的标准并进行验收。</w:t>
      </w:r>
    </w:p>
    <w:p w14:paraId="3BE77B38">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、违约责任与解决争议的方法</w:t>
      </w:r>
    </w:p>
    <w:p w14:paraId="54284B69">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.1违约责任</w:t>
      </w:r>
    </w:p>
    <w:p w14:paraId="6764FC21">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（1）通用履约责任</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双方必须严格遵守本合同并执行各项约定，保证合同的合法正常履行。未经双方协商一致，</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不得单方面变更、中止、解除或终止本合同，否则</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应承担合同总金额</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0%的违约金，并赔偿由此给遴选人造成的全部损失。</w:t>
      </w:r>
    </w:p>
    <w:p w14:paraId="11540E33">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赔偿责任</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如因</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工作人员在履行职务过程中的疏忽、失职、过错等故意或过失原因给遴选人造成损失或侵害（包括但不限于遴选人本身的财产损失、由此导致的遴选人对任何第三方的法律责任等），</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应承担全部的赔偿责任。</w:t>
      </w:r>
    </w:p>
    <w:p w14:paraId="22AEC285">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（3）服务及时性违约</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逾期出具保单或逾期完成保险责任核定、逾期履行赔偿义务的，每逾期一日，须向遴选人支付1000元的违约金；合同期限内，</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lang w:val="en-US" w:eastAsia="zh-CN"/>
        </w:rPr>
        <w:t>累计</w:t>
      </w:r>
      <w:r>
        <w:rPr>
          <w:rFonts w:hint="eastAsia" w:ascii="仿宋" w:hAnsi="仿宋" w:eastAsia="仿宋" w:cs="仿宋"/>
          <w:b w:val="0"/>
          <w:bCs w:val="0"/>
          <w:color w:val="auto"/>
          <w:sz w:val="24"/>
          <w:szCs w:val="24"/>
          <w:highlight w:val="none"/>
        </w:rPr>
        <w:t>出现3次及以上上述</w:t>
      </w:r>
      <w:r>
        <w:rPr>
          <w:rFonts w:hint="eastAsia" w:ascii="仿宋" w:hAnsi="仿宋" w:eastAsia="仿宋" w:cs="仿宋"/>
          <w:b w:val="0"/>
          <w:bCs w:val="0"/>
          <w:color w:val="auto"/>
          <w:sz w:val="24"/>
          <w:szCs w:val="24"/>
          <w:highlight w:val="none"/>
          <w:lang w:val="en-US" w:eastAsia="zh-CN"/>
        </w:rPr>
        <w:t>逾期</w:t>
      </w:r>
      <w:r>
        <w:rPr>
          <w:rFonts w:hint="eastAsia" w:ascii="仿宋" w:hAnsi="仿宋" w:eastAsia="仿宋" w:cs="仿宋"/>
          <w:b w:val="0"/>
          <w:bCs w:val="0"/>
          <w:color w:val="auto"/>
          <w:sz w:val="24"/>
          <w:szCs w:val="24"/>
          <w:highlight w:val="none"/>
        </w:rPr>
        <w:t>行为或单次逾期超过20日的，遴选人有权解除合同并要求遴选申请人退还</w:t>
      </w:r>
      <w:r>
        <w:rPr>
          <w:rFonts w:hint="eastAsia" w:ascii="仿宋" w:hAnsi="仿宋" w:eastAsia="仿宋" w:cs="仿宋"/>
          <w:b w:val="0"/>
          <w:bCs w:val="0"/>
          <w:color w:val="auto"/>
          <w:sz w:val="24"/>
          <w:szCs w:val="24"/>
          <w:highlight w:val="none"/>
          <w:lang w:val="en-US" w:eastAsia="zh-CN"/>
        </w:rPr>
        <w:t>全部</w:t>
      </w:r>
      <w:r>
        <w:rPr>
          <w:rFonts w:hint="eastAsia" w:ascii="仿宋" w:hAnsi="仿宋" w:eastAsia="仿宋" w:cs="仿宋"/>
          <w:b w:val="0"/>
          <w:bCs w:val="0"/>
          <w:color w:val="auto"/>
          <w:sz w:val="24"/>
          <w:szCs w:val="24"/>
          <w:highlight w:val="none"/>
        </w:rPr>
        <w:t>保费</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且应承担合同总金额30%的违约金</w:t>
      </w:r>
      <w:r>
        <w:rPr>
          <w:rFonts w:hint="eastAsia" w:ascii="仿宋" w:hAnsi="仿宋" w:eastAsia="仿宋" w:cs="仿宋"/>
          <w:b w:val="0"/>
          <w:bCs w:val="0"/>
          <w:color w:val="auto"/>
          <w:sz w:val="24"/>
          <w:szCs w:val="24"/>
          <w:highlight w:val="none"/>
        </w:rPr>
        <w:t>。</w:t>
      </w:r>
    </w:p>
    <w:p w14:paraId="19476871">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（4）禁止分包与转包</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未经遴选人书面同意，不得擅自分包、转包，否则遴选人有权立即终止合同，并要求</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停止分包、转包行为，同时有权要求</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承担合同总金额</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0%的违约金。</w:t>
      </w:r>
    </w:p>
    <w:p w14:paraId="704AB257">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（5）虚假投标与严重失信</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合同签订生效后，若发现</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在本项目中存在以虚假材料谋取中选等违反诚实信用、公序良俗的行为，或被列入严重违法失信企业名单的，遴选人有权无条件解除本合同并要求</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退还全部费用及利息。</w:t>
      </w:r>
    </w:p>
    <w:p w14:paraId="62A0E37D">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（6）遴选人逾期付款责任</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遴选人无正当理由逾期支付服务费的，每逾期一日，按应付未付金额的0.1‰向</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支付违约金</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该违约金以未付金额的10%为限</w:t>
      </w:r>
      <w:r>
        <w:rPr>
          <w:rFonts w:hint="eastAsia" w:ascii="仿宋" w:hAnsi="仿宋" w:eastAsia="仿宋" w:cs="仿宋"/>
          <w:b w:val="0"/>
          <w:bCs w:val="0"/>
          <w:color w:val="auto"/>
          <w:sz w:val="24"/>
          <w:szCs w:val="24"/>
          <w:highlight w:val="none"/>
        </w:rPr>
        <w:t>。若因财政年终决算关账或财政资金未下达等客观原因或</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未按遴选人要求提交票据等资料导致遴选人未按合同约定支付相应款项的，不视为遴选人违约，遴选人不承担任何违约责任。</w:t>
      </w:r>
    </w:p>
    <w:p w14:paraId="6DA21411">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（7）费用承担与利息计算</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违反本合同约定的，应当按照本合同约定支付违约金，并赔偿由此给遴选人造成的全部损失，包括遴选人因诉讼产生的律师费、诉讼费用、保全保险费、差旅费等费用。</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本文件所称“利息”按照同期中国人民银行授权全国银行间同业拆借中心公布的一年期贷款市场报价利率（LPR）为标准，从</w:t>
      </w:r>
      <w:r>
        <w:rPr>
          <w:rFonts w:hint="eastAsia" w:ascii="仿宋" w:hAnsi="仿宋" w:eastAsia="仿宋" w:cs="仿宋"/>
          <w:b w:val="0"/>
          <w:bCs w:val="0"/>
          <w:color w:val="auto"/>
          <w:sz w:val="24"/>
          <w:szCs w:val="24"/>
          <w:highlight w:val="none"/>
          <w:lang w:eastAsia="zh-CN"/>
        </w:rPr>
        <w:t>遴选申请人</w:t>
      </w:r>
      <w:r>
        <w:rPr>
          <w:rFonts w:hint="eastAsia" w:ascii="仿宋" w:hAnsi="仿宋" w:eastAsia="仿宋" w:cs="仿宋"/>
          <w:b w:val="0"/>
          <w:bCs w:val="0"/>
          <w:color w:val="auto"/>
          <w:sz w:val="24"/>
          <w:szCs w:val="24"/>
          <w:highlight w:val="none"/>
        </w:rPr>
        <w:t>应退还费用的应付而未付之日起计算。</w:t>
      </w:r>
      <w:r>
        <w:rPr>
          <w:rFonts w:hint="eastAsia" w:ascii="仿宋" w:hAnsi="仿宋" w:eastAsia="仿宋" w:cs="仿宋"/>
          <w:b w:val="0"/>
          <w:bCs w:val="0"/>
          <w:color w:val="auto"/>
          <w:sz w:val="24"/>
          <w:szCs w:val="24"/>
          <w:highlight w:val="none"/>
          <w:lang w:eastAsia="zh-CN"/>
        </w:rPr>
        <w:t>）</w:t>
      </w:r>
    </w:p>
    <w:p w14:paraId="12F6612E">
      <w:pPr>
        <w:pageBreakBefore w:val="0"/>
        <w:kinsoku/>
        <w:wordWrap/>
        <w:overflowPunct/>
        <w:topLinePunct w:val="0"/>
        <w:bidi w:val="0"/>
        <w:snapToGrid/>
        <w:spacing w:line="240" w:lineRule="auto"/>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.2争议解决</w:t>
      </w:r>
    </w:p>
    <w:p w14:paraId="52AD9975">
      <w:pPr>
        <w:ind w:firstLine="480" w:firstLineChars="200"/>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在执行本合同中发生的或与本合同有关的争端，双方应通过友好协商解决；经协商不能达成一致时，应选择向遴选人所在地有管辖权的人民法院提起诉讼，诉讼产生的一切费用应由败诉方负担。在法院审理期间，除有争议部分外，本合同其他可以履行的部分仍应按合同条款继续履行。</w:t>
      </w:r>
    </w:p>
    <w:p w14:paraId="455A7C08">
      <w:pPr>
        <w:ind w:firstLine="480" w:firstLineChars="200"/>
        <w:rPr>
          <w:rFonts w:hint="eastAsia" w:ascii="仿宋" w:hAnsi="仿宋" w:eastAsia="仿宋" w:cs="仿宋"/>
          <w:b w:val="0"/>
          <w:bCs w:val="0"/>
          <w:color w:val="auto"/>
          <w:sz w:val="24"/>
          <w:szCs w:val="24"/>
          <w:highlight w:val="none"/>
        </w:rPr>
      </w:pPr>
    </w:p>
    <w:p w14:paraId="65C9E7E2">
      <w:pPr>
        <w:ind w:firstLine="480" w:firstLineChars="200"/>
        <w:rPr>
          <w:rFonts w:hint="eastAsia" w:ascii="仿宋" w:hAnsi="仿宋" w:eastAsia="仿宋" w:cs="仿宋"/>
          <w:b w:val="0"/>
          <w:bCs w:val="0"/>
          <w:color w:val="auto"/>
          <w:sz w:val="24"/>
          <w:szCs w:val="24"/>
          <w:highlight w:val="none"/>
        </w:rPr>
      </w:pPr>
    </w:p>
    <w:p w14:paraId="187C5391">
      <w:pPr>
        <w:pStyle w:val="2"/>
        <w:pageBreakBefore w:val="0"/>
        <w:kinsoku/>
        <w:wordWrap/>
        <w:overflowPunct/>
        <w:topLinePunct w:val="0"/>
        <w:bidi w:val="0"/>
        <w:snapToGrid/>
        <w:spacing w:before="0" w:after="0" w:line="240" w:lineRule="auto"/>
        <w:jc w:val="center"/>
        <w:rPr>
          <w:rFonts w:hint="eastAsia" w:ascii="仿宋" w:hAnsi="仿宋" w:eastAsia="仿宋" w:cs="仿宋"/>
          <w:bCs w:val="0"/>
          <w:color w:val="auto"/>
          <w:spacing w:val="0"/>
          <w:sz w:val="30"/>
          <w:szCs w:val="30"/>
          <w:highlight w:val="none"/>
        </w:rPr>
      </w:pPr>
      <w:bookmarkStart w:id="10" w:name="_Toc69323340"/>
      <w:bookmarkStart w:id="11" w:name="_Toc66971936"/>
    </w:p>
    <w:p w14:paraId="416799DB">
      <w:pPr>
        <w:rPr>
          <w:rFonts w:hint="eastAsia" w:ascii="仿宋" w:hAnsi="仿宋" w:eastAsia="仿宋" w:cs="仿宋"/>
          <w:bCs w:val="0"/>
          <w:color w:val="auto"/>
          <w:spacing w:val="0"/>
          <w:sz w:val="30"/>
          <w:szCs w:val="30"/>
          <w:highlight w:val="none"/>
        </w:rPr>
      </w:pPr>
    </w:p>
    <w:p w14:paraId="39E50AC1">
      <w:pPr>
        <w:rPr>
          <w:rFonts w:hint="eastAsia" w:ascii="仿宋" w:hAnsi="仿宋" w:eastAsia="仿宋" w:cs="仿宋"/>
          <w:bCs w:val="0"/>
          <w:color w:val="auto"/>
          <w:spacing w:val="0"/>
          <w:sz w:val="30"/>
          <w:szCs w:val="30"/>
          <w:highlight w:val="none"/>
        </w:rPr>
      </w:pPr>
    </w:p>
    <w:p w14:paraId="40295A61">
      <w:pPr>
        <w:rPr>
          <w:rFonts w:hint="eastAsia" w:ascii="仿宋" w:hAnsi="仿宋" w:eastAsia="仿宋" w:cs="仿宋"/>
          <w:bCs w:val="0"/>
          <w:color w:val="auto"/>
          <w:spacing w:val="0"/>
          <w:sz w:val="30"/>
          <w:szCs w:val="30"/>
          <w:highlight w:val="none"/>
        </w:rPr>
      </w:pPr>
    </w:p>
    <w:p w14:paraId="35EE5FCF">
      <w:pPr>
        <w:rPr>
          <w:rFonts w:hint="eastAsia" w:ascii="仿宋" w:hAnsi="仿宋" w:eastAsia="仿宋" w:cs="仿宋"/>
          <w:bCs w:val="0"/>
          <w:color w:val="auto"/>
          <w:spacing w:val="0"/>
          <w:sz w:val="30"/>
          <w:szCs w:val="30"/>
          <w:highlight w:val="none"/>
        </w:rPr>
      </w:pPr>
    </w:p>
    <w:p w14:paraId="5494A41B">
      <w:pPr>
        <w:rPr>
          <w:rFonts w:hint="eastAsia" w:ascii="仿宋" w:hAnsi="仿宋" w:eastAsia="仿宋" w:cs="仿宋"/>
          <w:bCs w:val="0"/>
          <w:color w:val="auto"/>
          <w:spacing w:val="0"/>
          <w:sz w:val="30"/>
          <w:szCs w:val="30"/>
          <w:highlight w:val="none"/>
        </w:rPr>
      </w:pPr>
    </w:p>
    <w:p w14:paraId="13B1B65A">
      <w:pPr>
        <w:rPr>
          <w:rFonts w:hint="eastAsia" w:ascii="仿宋" w:hAnsi="仿宋" w:eastAsia="仿宋" w:cs="仿宋"/>
          <w:bCs w:val="0"/>
          <w:color w:val="auto"/>
          <w:spacing w:val="0"/>
          <w:sz w:val="30"/>
          <w:szCs w:val="30"/>
          <w:highlight w:val="none"/>
        </w:rPr>
      </w:pPr>
    </w:p>
    <w:p w14:paraId="7E19EF1C">
      <w:pPr>
        <w:rPr>
          <w:rFonts w:hint="eastAsia" w:ascii="仿宋" w:hAnsi="仿宋" w:eastAsia="仿宋" w:cs="仿宋"/>
          <w:bCs w:val="0"/>
          <w:color w:val="auto"/>
          <w:spacing w:val="0"/>
          <w:sz w:val="30"/>
          <w:szCs w:val="30"/>
          <w:highlight w:val="none"/>
        </w:rPr>
      </w:pPr>
    </w:p>
    <w:p w14:paraId="26A00941">
      <w:pPr>
        <w:rPr>
          <w:rFonts w:hint="eastAsia" w:ascii="仿宋" w:hAnsi="仿宋" w:eastAsia="仿宋" w:cs="仿宋"/>
          <w:bCs w:val="0"/>
          <w:color w:val="auto"/>
          <w:spacing w:val="0"/>
          <w:sz w:val="30"/>
          <w:szCs w:val="30"/>
          <w:highlight w:val="none"/>
        </w:rPr>
      </w:pPr>
    </w:p>
    <w:p w14:paraId="6A35B84E">
      <w:pPr>
        <w:rPr>
          <w:rFonts w:hint="eastAsia" w:ascii="仿宋" w:hAnsi="仿宋" w:eastAsia="仿宋" w:cs="仿宋"/>
          <w:bCs w:val="0"/>
          <w:color w:val="auto"/>
          <w:spacing w:val="0"/>
          <w:sz w:val="30"/>
          <w:szCs w:val="30"/>
          <w:highlight w:val="none"/>
        </w:rPr>
      </w:pPr>
    </w:p>
    <w:p w14:paraId="5141E394">
      <w:pPr>
        <w:rPr>
          <w:rFonts w:hint="eastAsia" w:ascii="仿宋" w:hAnsi="仿宋" w:eastAsia="仿宋" w:cs="仿宋"/>
          <w:bCs w:val="0"/>
          <w:color w:val="auto"/>
          <w:spacing w:val="0"/>
          <w:sz w:val="30"/>
          <w:szCs w:val="30"/>
          <w:highlight w:val="none"/>
        </w:rPr>
      </w:pPr>
    </w:p>
    <w:p w14:paraId="3AEEBCB5">
      <w:pPr>
        <w:rPr>
          <w:rFonts w:hint="eastAsia" w:ascii="仿宋" w:hAnsi="仿宋" w:eastAsia="仿宋" w:cs="仿宋"/>
          <w:bCs w:val="0"/>
          <w:color w:val="auto"/>
          <w:spacing w:val="0"/>
          <w:sz w:val="30"/>
          <w:szCs w:val="30"/>
          <w:highlight w:val="none"/>
        </w:rPr>
      </w:pPr>
    </w:p>
    <w:p w14:paraId="3572EAA7">
      <w:pPr>
        <w:rPr>
          <w:rFonts w:hint="eastAsia" w:ascii="仿宋" w:hAnsi="仿宋" w:eastAsia="仿宋" w:cs="仿宋"/>
          <w:bCs w:val="0"/>
          <w:color w:val="auto"/>
          <w:spacing w:val="0"/>
          <w:sz w:val="30"/>
          <w:szCs w:val="30"/>
          <w:highlight w:val="none"/>
        </w:rPr>
      </w:pPr>
    </w:p>
    <w:p w14:paraId="6B708552">
      <w:pPr>
        <w:rPr>
          <w:rFonts w:hint="eastAsia" w:ascii="仿宋" w:hAnsi="仿宋" w:eastAsia="仿宋" w:cs="仿宋"/>
          <w:bCs w:val="0"/>
          <w:color w:val="auto"/>
          <w:spacing w:val="0"/>
          <w:sz w:val="30"/>
          <w:szCs w:val="30"/>
          <w:highlight w:val="none"/>
        </w:rPr>
      </w:pPr>
    </w:p>
    <w:p w14:paraId="1FCABD15">
      <w:pPr>
        <w:rPr>
          <w:rFonts w:hint="eastAsia" w:ascii="仿宋" w:hAnsi="仿宋" w:eastAsia="仿宋" w:cs="仿宋"/>
          <w:bCs w:val="0"/>
          <w:color w:val="auto"/>
          <w:spacing w:val="0"/>
          <w:sz w:val="30"/>
          <w:szCs w:val="30"/>
          <w:highlight w:val="none"/>
        </w:rPr>
      </w:pPr>
    </w:p>
    <w:p w14:paraId="787B1E1A">
      <w:pPr>
        <w:rPr>
          <w:rFonts w:hint="eastAsia" w:ascii="仿宋" w:hAnsi="仿宋" w:eastAsia="仿宋" w:cs="仿宋"/>
          <w:bCs w:val="0"/>
          <w:color w:val="auto"/>
          <w:spacing w:val="0"/>
          <w:sz w:val="30"/>
          <w:szCs w:val="30"/>
          <w:highlight w:val="none"/>
        </w:rPr>
      </w:pPr>
    </w:p>
    <w:p w14:paraId="5C5FB593">
      <w:pPr>
        <w:pStyle w:val="2"/>
        <w:pageBreakBefore w:val="0"/>
        <w:kinsoku/>
        <w:wordWrap/>
        <w:overflowPunct/>
        <w:topLinePunct w:val="0"/>
        <w:bidi w:val="0"/>
        <w:snapToGrid/>
        <w:spacing w:before="0" w:after="0" w:line="240" w:lineRule="auto"/>
        <w:jc w:val="center"/>
        <w:rPr>
          <w:rFonts w:hint="eastAsia" w:ascii="仿宋" w:hAnsi="仿宋" w:eastAsia="仿宋" w:cs="仿宋"/>
          <w:bCs w:val="0"/>
          <w:color w:val="auto"/>
          <w:spacing w:val="0"/>
          <w:sz w:val="30"/>
          <w:szCs w:val="30"/>
          <w:highlight w:val="none"/>
        </w:rPr>
      </w:pPr>
      <w:r>
        <w:rPr>
          <w:rFonts w:hint="eastAsia" w:ascii="仿宋" w:hAnsi="仿宋" w:eastAsia="仿宋" w:cs="仿宋"/>
          <w:bCs w:val="0"/>
          <w:color w:val="auto"/>
          <w:spacing w:val="0"/>
          <w:sz w:val="30"/>
          <w:szCs w:val="30"/>
          <w:highlight w:val="none"/>
        </w:rPr>
        <w:t>第五章评审办法</w:t>
      </w:r>
      <w:bookmarkEnd w:id="10"/>
      <w:bookmarkEnd w:id="11"/>
    </w:p>
    <w:p w14:paraId="16F64A49">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1、总则</w:t>
      </w:r>
    </w:p>
    <w:p w14:paraId="69A5452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1.1遴选人将根据遴选特点组建评审委员会，采取</w:t>
      </w:r>
      <w:r>
        <w:rPr>
          <w:rFonts w:hint="eastAsia" w:ascii="仿宋" w:hAnsi="仿宋" w:eastAsia="仿宋" w:cs="仿宋"/>
          <w:b/>
          <w:bCs/>
          <w:color w:val="auto"/>
          <w:spacing w:val="0"/>
          <w:sz w:val="24"/>
          <w:szCs w:val="24"/>
          <w:highlight w:val="none"/>
        </w:rPr>
        <w:t>综合评分法。</w:t>
      </w:r>
    </w:p>
    <w:p w14:paraId="3AB621F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w:t>
      </w:r>
      <w:r>
        <w:rPr>
          <w:rFonts w:hint="eastAsia" w:ascii="仿宋" w:hAnsi="仿宋" w:eastAsia="仿宋" w:cs="仿宋"/>
          <w:color w:val="auto"/>
          <w:spacing w:val="0"/>
          <w:sz w:val="24"/>
          <w:szCs w:val="24"/>
          <w:highlight w:val="none"/>
          <w:lang w:val="en-US" w:eastAsia="zh-CN"/>
        </w:rPr>
        <w:t>2</w:t>
      </w:r>
      <w:r>
        <w:rPr>
          <w:rFonts w:hint="eastAsia" w:ascii="仿宋" w:hAnsi="仿宋" w:eastAsia="仿宋" w:cs="仿宋"/>
          <w:color w:val="auto"/>
          <w:spacing w:val="0"/>
          <w:sz w:val="24"/>
          <w:szCs w:val="24"/>
          <w:highlight w:val="none"/>
        </w:rPr>
        <w:t>评审工作应遵循公平、公正、科学及择优的原则，并以相同的评审程序和标准对待所有的遴选申请人。</w:t>
      </w:r>
    </w:p>
    <w:p w14:paraId="2C4EA85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1.3评审委员会按照遴选文件规定的评审方法和标准进行评审，并独立履行下列职责：</w:t>
      </w:r>
    </w:p>
    <w:p w14:paraId="2EB38F4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（1）审查遴选申请文件是否符合遴选文件要求，并作出评价；</w:t>
      </w:r>
    </w:p>
    <w:p w14:paraId="2884BC54">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（2）要求遴选申请人对遴选申请文件有关事项作出解释或者澄清；</w:t>
      </w:r>
    </w:p>
    <w:p w14:paraId="26D4EC6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（3）推荐中选候选人名单；</w:t>
      </w:r>
    </w:p>
    <w:p w14:paraId="1CE50D40">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（4）向遴选人或者有关部门报告非法干预评审工作的行为。</w:t>
      </w:r>
    </w:p>
    <w:p w14:paraId="76637375">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2、评审程序</w:t>
      </w:r>
    </w:p>
    <w:p w14:paraId="0F8D89C5">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2.1遴选申请文件初审。初审分为资格性检查和符合性检查。</w:t>
      </w:r>
    </w:p>
    <w:p w14:paraId="3916855F">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2.1.1资格性检查。依据法律法规和遴选文件的规定，对遴选申请文件中的第三章资格证明进行审查，以确定遴选申请人具备遴选资格。</w:t>
      </w:r>
    </w:p>
    <w:tbl>
      <w:tblPr>
        <w:tblStyle w:val="16"/>
        <w:tblW w:w="5212" w:type="pct"/>
        <w:tblInd w:w="-2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7557"/>
        <w:gridCol w:w="1698"/>
      </w:tblGrid>
      <w:tr w14:paraId="5F06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6086537E">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序号</w:t>
            </w:r>
          </w:p>
        </w:tc>
        <w:tc>
          <w:tcPr>
            <w:tcW w:w="3764" w:type="pct"/>
            <w:vAlign w:val="center"/>
          </w:tcPr>
          <w:p w14:paraId="5D251254">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资格性检查内容</w:t>
            </w:r>
          </w:p>
        </w:tc>
        <w:tc>
          <w:tcPr>
            <w:tcW w:w="846" w:type="pct"/>
            <w:vAlign w:val="center"/>
          </w:tcPr>
          <w:p w14:paraId="09FAA5CA">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通过/不通过</w:t>
            </w:r>
          </w:p>
        </w:tc>
      </w:tr>
      <w:tr w14:paraId="699D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2B04AEC8">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27601B56">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具有独立承担民事责任的能力的证明材料</w:t>
            </w:r>
          </w:p>
        </w:tc>
        <w:tc>
          <w:tcPr>
            <w:tcW w:w="846" w:type="pct"/>
            <w:vAlign w:val="center"/>
          </w:tcPr>
          <w:p w14:paraId="6EBA281D">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280F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7F71C3E3">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4E2545C5">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具有良好的商业信誉和健全的财务会计制度的证明材料</w:t>
            </w:r>
          </w:p>
        </w:tc>
        <w:tc>
          <w:tcPr>
            <w:tcW w:w="846" w:type="pct"/>
            <w:vAlign w:val="center"/>
          </w:tcPr>
          <w:p w14:paraId="7AB0C4AE">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0D5A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69A786D6">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1D2F18D0">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具有依法缴纳税收和社会保障资金的良好记录的证明材料</w:t>
            </w:r>
          </w:p>
        </w:tc>
        <w:tc>
          <w:tcPr>
            <w:tcW w:w="846" w:type="pct"/>
            <w:vAlign w:val="center"/>
          </w:tcPr>
          <w:p w14:paraId="39206C6C">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03B7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3FBF1941">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3B0E2889">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具备履行合同所必需的设备和专业技术能力的证明材料</w:t>
            </w:r>
          </w:p>
        </w:tc>
        <w:tc>
          <w:tcPr>
            <w:tcW w:w="846" w:type="pct"/>
            <w:vAlign w:val="center"/>
          </w:tcPr>
          <w:p w14:paraId="6BA71F75">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3F9D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5B05002D">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0E406FF1">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参加遴选活动前三年内在经营活动中没有重大违法记录的证明材料</w:t>
            </w:r>
          </w:p>
        </w:tc>
        <w:tc>
          <w:tcPr>
            <w:tcW w:w="846" w:type="pct"/>
            <w:vAlign w:val="center"/>
          </w:tcPr>
          <w:p w14:paraId="6DBF112F">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613EB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7B67FF21">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3F7184D0">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遴选申请人还符合法律、行政法规规定的其他强制性条件</w:t>
            </w:r>
          </w:p>
        </w:tc>
        <w:tc>
          <w:tcPr>
            <w:tcW w:w="846" w:type="pct"/>
            <w:vAlign w:val="center"/>
          </w:tcPr>
          <w:p w14:paraId="49187EB6">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13BC9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048CD430">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25662755">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非法定代表人参与遴选并签署响应文件时，提供法定代表人授权书原件以及法定代表人和授权代表的身份证复印件</w:t>
            </w:r>
          </w:p>
        </w:tc>
        <w:tc>
          <w:tcPr>
            <w:tcW w:w="846" w:type="pct"/>
            <w:vAlign w:val="center"/>
          </w:tcPr>
          <w:p w14:paraId="16DCFC94">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329B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71448D35">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461A5883">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法定代表人直接参与遴选并签署响应文件时，提供法定代表人证明书原件和法定代表人身份证复印件</w:t>
            </w:r>
          </w:p>
        </w:tc>
        <w:tc>
          <w:tcPr>
            <w:tcW w:w="846" w:type="pct"/>
            <w:vAlign w:val="center"/>
          </w:tcPr>
          <w:p w14:paraId="7DE4692F">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52DB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59B5600A">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04C5D039">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非联合体参加本次遴选活动</w:t>
            </w:r>
          </w:p>
        </w:tc>
        <w:tc>
          <w:tcPr>
            <w:tcW w:w="846" w:type="pct"/>
            <w:vAlign w:val="center"/>
          </w:tcPr>
          <w:p w14:paraId="0B6F8059">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63692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60747972">
            <w:pPr>
              <w:pStyle w:val="32"/>
              <w:pageBreakBefore w:val="0"/>
              <w:numPr>
                <w:ilvl w:val="0"/>
                <w:numId w:val="3"/>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4" w:type="pct"/>
            <w:vAlign w:val="center"/>
          </w:tcPr>
          <w:p w14:paraId="05F455CA">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z w:val="24"/>
                <w:szCs w:val="24"/>
                <w:highlight w:val="none"/>
              </w:rPr>
              <w:t>持有国家金融监督管理总局（或原银保监会）颁发的有效《金融许可证》（或过渡期内的原《保险许可证》），且</w:t>
            </w:r>
            <w:r>
              <w:rPr>
                <w:rFonts w:hint="eastAsia" w:ascii="仿宋" w:hAnsi="仿宋" w:eastAsia="仿宋" w:cs="仿宋"/>
                <w:color w:val="auto"/>
                <w:sz w:val="24"/>
                <w:szCs w:val="24"/>
                <w:highlight w:val="none"/>
                <w:lang w:val="en-US" w:eastAsia="zh-CN"/>
              </w:rPr>
              <w:t>许可证核准的</w:t>
            </w:r>
            <w:r>
              <w:rPr>
                <w:rFonts w:hint="eastAsia" w:ascii="仿宋" w:hAnsi="仿宋" w:eastAsia="仿宋" w:cs="仿宋"/>
                <w:color w:val="auto"/>
                <w:sz w:val="24"/>
                <w:szCs w:val="24"/>
                <w:highlight w:val="none"/>
              </w:rPr>
              <w:t>经营范围包含</w:t>
            </w:r>
            <w:r>
              <w:rPr>
                <w:rFonts w:hint="eastAsia" w:ascii="仿宋" w:hAnsi="仿宋" w:eastAsia="仿宋" w:cs="仿宋"/>
                <w:color w:val="auto"/>
                <w:sz w:val="24"/>
                <w:szCs w:val="24"/>
                <w:highlight w:val="none"/>
                <w:lang w:eastAsia="zh-CN"/>
              </w:rPr>
              <w:t>“健康保险”或“意外伤害险”</w:t>
            </w:r>
            <w:r>
              <w:rPr>
                <w:rFonts w:hint="eastAsia" w:ascii="仿宋" w:hAnsi="仿宋" w:eastAsia="仿宋" w:cs="仿宋"/>
                <w:color w:val="auto"/>
                <w:sz w:val="24"/>
                <w:szCs w:val="24"/>
                <w:highlight w:val="none"/>
              </w:rPr>
              <w:t>。</w:t>
            </w:r>
          </w:p>
        </w:tc>
        <w:tc>
          <w:tcPr>
            <w:tcW w:w="846" w:type="pct"/>
            <w:vAlign w:val="center"/>
          </w:tcPr>
          <w:p w14:paraId="1F95F051">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bl>
    <w:p w14:paraId="0F53CCCF">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2.1.2符合性检查。依据遴选文件的规定（“遴选申请人须知”</w:t>
      </w:r>
      <w:r>
        <w:rPr>
          <w:rFonts w:hint="eastAsia" w:ascii="仿宋" w:hAnsi="仿宋" w:eastAsia="仿宋" w:cs="仿宋"/>
          <w:color w:val="auto"/>
          <w:spacing w:val="0"/>
          <w:sz w:val="24"/>
          <w:szCs w:val="24"/>
          <w:highlight w:val="none"/>
          <w:lang w:val="en-US" w:eastAsia="zh-CN"/>
        </w:rPr>
        <w:t>5</w:t>
      </w:r>
      <w:r>
        <w:rPr>
          <w:rFonts w:hint="eastAsia" w:ascii="仿宋" w:hAnsi="仿宋" w:eastAsia="仿宋" w:cs="仿宋"/>
          <w:color w:val="auto"/>
          <w:spacing w:val="0"/>
          <w:sz w:val="24"/>
          <w:szCs w:val="24"/>
          <w:highlight w:val="none"/>
        </w:rPr>
        <w:t>.3.1要求），从遴选申请文件的有效性、完整性和对遴选文件的响应程度进行审查，以确定是否对遴选文件的实质性要求作出响应。</w:t>
      </w:r>
    </w:p>
    <w:tbl>
      <w:tblPr>
        <w:tblStyle w:val="16"/>
        <w:tblW w:w="5218" w:type="pct"/>
        <w:tblInd w:w="-2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7576"/>
        <w:gridCol w:w="1680"/>
      </w:tblGrid>
      <w:tr w14:paraId="1CA90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Align w:val="center"/>
          </w:tcPr>
          <w:p w14:paraId="4F625441">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序号</w:t>
            </w:r>
          </w:p>
        </w:tc>
        <w:tc>
          <w:tcPr>
            <w:tcW w:w="3769" w:type="pct"/>
            <w:vAlign w:val="center"/>
          </w:tcPr>
          <w:p w14:paraId="6A05E89D">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符合性检查内容</w:t>
            </w:r>
          </w:p>
        </w:tc>
        <w:tc>
          <w:tcPr>
            <w:tcW w:w="836" w:type="pct"/>
            <w:vAlign w:val="center"/>
          </w:tcPr>
          <w:p w14:paraId="2371EF4B">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通过/不通过</w:t>
            </w:r>
          </w:p>
        </w:tc>
      </w:tr>
      <w:tr w14:paraId="3C74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Align w:val="center"/>
          </w:tcPr>
          <w:p w14:paraId="68A57459">
            <w:pPr>
              <w:pStyle w:val="32"/>
              <w:pageBreakBefore w:val="0"/>
              <w:numPr>
                <w:ilvl w:val="0"/>
                <w:numId w:val="4"/>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9" w:type="pct"/>
            <w:vAlign w:val="center"/>
          </w:tcPr>
          <w:p w14:paraId="4E87CBB5">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未按遴选文件规定盖章或签字的</w:t>
            </w:r>
          </w:p>
        </w:tc>
        <w:tc>
          <w:tcPr>
            <w:tcW w:w="836" w:type="pct"/>
            <w:vAlign w:val="center"/>
          </w:tcPr>
          <w:p w14:paraId="30FBD6CC">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51C9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Align w:val="center"/>
          </w:tcPr>
          <w:p w14:paraId="3662DF69">
            <w:pPr>
              <w:pStyle w:val="32"/>
              <w:pageBreakBefore w:val="0"/>
              <w:numPr>
                <w:ilvl w:val="0"/>
                <w:numId w:val="4"/>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9" w:type="pct"/>
            <w:vAlign w:val="center"/>
          </w:tcPr>
          <w:p w14:paraId="51A1235E">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遴选申请文件中的报价高于本项目预算或最高限价或未按遴选文件规定进行报价的</w:t>
            </w:r>
          </w:p>
        </w:tc>
        <w:tc>
          <w:tcPr>
            <w:tcW w:w="836" w:type="pct"/>
            <w:vAlign w:val="center"/>
          </w:tcPr>
          <w:p w14:paraId="111BE00D">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5811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Align w:val="center"/>
          </w:tcPr>
          <w:p w14:paraId="563A9DF2">
            <w:pPr>
              <w:pStyle w:val="32"/>
              <w:pageBreakBefore w:val="0"/>
              <w:numPr>
                <w:ilvl w:val="0"/>
                <w:numId w:val="4"/>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9" w:type="pct"/>
            <w:vAlign w:val="center"/>
          </w:tcPr>
          <w:p w14:paraId="0EE6CFBC">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遴选申请文件不满足本项目实质性要求的</w:t>
            </w:r>
          </w:p>
        </w:tc>
        <w:tc>
          <w:tcPr>
            <w:tcW w:w="836" w:type="pct"/>
            <w:vAlign w:val="center"/>
          </w:tcPr>
          <w:p w14:paraId="04BBAEB0">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r w14:paraId="4EAC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 w:type="pct"/>
            <w:vAlign w:val="center"/>
          </w:tcPr>
          <w:p w14:paraId="2EC052F3">
            <w:pPr>
              <w:pStyle w:val="32"/>
              <w:pageBreakBefore w:val="0"/>
              <w:numPr>
                <w:ilvl w:val="0"/>
                <w:numId w:val="4"/>
              </w:numPr>
              <w:kinsoku/>
              <w:wordWrap/>
              <w:overflowPunct/>
              <w:topLinePunct w:val="0"/>
              <w:bidi w:val="0"/>
              <w:snapToGrid/>
              <w:spacing w:line="0" w:lineRule="atLeast"/>
              <w:ind w:left="0" w:firstLine="0" w:firstLineChars="0"/>
              <w:jc w:val="center"/>
              <w:rPr>
                <w:rFonts w:hint="eastAsia" w:ascii="仿宋" w:hAnsi="仿宋" w:eastAsia="仿宋" w:cs="仿宋"/>
                <w:color w:val="auto"/>
                <w:spacing w:val="0"/>
                <w:sz w:val="24"/>
                <w:szCs w:val="24"/>
                <w:highlight w:val="none"/>
              </w:rPr>
            </w:pPr>
          </w:p>
        </w:tc>
        <w:tc>
          <w:tcPr>
            <w:tcW w:w="3769" w:type="pct"/>
            <w:vAlign w:val="center"/>
          </w:tcPr>
          <w:p w14:paraId="20E6CCBB">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发现在遴选过程中有弄虚作假情形的</w:t>
            </w:r>
          </w:p>
        </w:tc>
        <w:tc>
          <w:tcPr>
            <w:tcW w:w="836" w:type="pct"/>
            <w:vAlign w:val="center"/>
          </w:tcPr>
          <w:p w14:paraId="06BB74A4">
            <w:pPr>
              <w:pageBreakBefore w:val="0"/>
              <w:kinsoku/>
              <w:wordWrap/>
              <w:overflowPunct/>
              <w:topLinePunct w:val="0"/>
              <w:bidi w:val="0"/>
              <w:snapToGrid/>
              <w:spacing w:line="0" w:lineRule="atLeast"/>
              <w:jc w:val="center"/>
              <w:rPr>
                <w:rFonts w:hint="eastAsia" w:ascii="仿宋" w:hAnsi="仿宋" w:eastAsia="仿宋" w:cs="仿宋"/>
                <w:color w:val="auto"/>
                <w:spacing w:val="0"/>
                <w:sz w:val="24"/>
                <w:szCs w:val="24"/>
                <w:highlight w:val="none"/>
              </w:rPr>
            </w:pPr>
          </w:p>
        </w:tc>
      </w:tr>
    </w:tbl>
    <w:p w14:paraId="6737CFBA">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2.2澄清有关问题。对遴选申请文件中含义不明确、同类问题表述不一致或者有明显文字和计算错误的内容，评审委员会可以书面形式要求遴选申请人作出必要的澄清、说明或者纠正。遴选申请人的澄清、说明或者补正应当采用书面形式，由其授权的代表签字，并不得超出遴选申请文件的范围或者改变遴选申请文件的实质性内容。</w:t>
      </w:r>
    </w:p>
    <w:p w14:paraId="6AAF51EF">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2.3比较与评价。按遴选文件中规定的评审方法和标准，对资格性检查和符合性检查合格的遴选申请文件进行商务和技术评估，综合比较与评价。</w:t>
      </w:r>
    </w:p>
    <w:p w14:paraId="7F57F46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2.4推荐中选候选人名单。中选候选人遴选人需要确定，但必须按顺序排列中选候选人。</w:t>
      </w:r>
    </w:p>
    <w:p w14:paraId="13EFAD79">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2.5编写评审报告。评审报告是评审委员会根据全体评审成员签字的原始评审记录和评审结果编写的报告。</w:t>
      </w:r>
    </w:p>
    <w:p w14:paraId="19CD0D88">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3、定标及定标程序</w:t>
      </w:r>
    </w:p>
    <w:p w14:paraId="4C46121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3.1评委会将评审情况写出书面报告，并按遴选申请人综合得分由高到低的顺序推荐不少于3家（含3家）中选候选人。</w:t>
      </w:r>
    </w:p>
    <w:p w14:paraId="7C6D3A7C">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注意，遴选人按照推荐的中选候选人顺序确定中选人，不能认为遴选人只能确定第一中选候选人为中选人，遴选人有正当理由的，可以确定后一顺序中选候选人为中选人，依次类推。</w:t>
      </w:r>
    </w:p>
    <w:p w14:paraId="55B8C1B1">
      <w:pPr>
        <w:pageBreakBefore w:val="0"/>
        <w:kinsoku/>
        <w:wordWrap/>
        <w:overflowPunct/>
        <w:topLinePunct w:val="0"/>
        <w:bidi w:val="0"/>
        <w:snapToGrid/>
        <w:spacing w:line="0" w:lineRule="atLeast"/>
        <w:ind w:firstLine="480" w:firstLineChars="200"/>
        <w:rPr>
          <w:rFonts w:hint="default" w:ascii="仿宋" w:hAnsi="仿宋" w:eastAsia="仿宋" w:cs="仿宋"/>
          <w:color w:val="auto"/>
          <w:spacing w:val="0"/>
          <w:sz w:val="24"/>
          <w:szCs w:val="24"/>
          <w:highlight w:val="none"/>
          <w:lang w:val="en-US" w:eastAsia="zh-CN"/>
        </w:rPr>
      </w:pPr>
      <w:r>
        <w:rPr>
          <w:rFonts w:hint="eastAsia" w:ascii="仿宋" w:hAnsi="仿宋" w:eastAsia="仿宋" w:cs="仿宋"/>
          <w:color w:val="auto"/>
          <w:spacing w:val="0"/>
          <w:sz w:val="24"/>
          <w:szCs w:val="24"/>
          <w:highlight w:val="none"/>
          <w:lang w:val="en-US" w:eastAsia="zh-CN"/>
        </w:rPr>
        <w:t>3.2遴选申请人不能履行采购合同或放弃中选资格的，遴选人可以与排在中选遴选申请人之后第一位的中选候选人签订采购合同，也可以重新开展遴选活动。</w:t>
      </w:r>
    </w:p>
    <w:p w14:paraId="0B83E093">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w:t>
      </w:r>
      <w:r>
        <w:rPr>
          <w:rFonts w:hint="eastAsia" w:ascii="仿宋" w:hAnsi="仿宋" w:eastAsia="仿宋" w:cs="仿宋"/>
          <w:color w:val="auto"/>
          <w:spacing w:val="0"/>
          <w:sz w:val="24"/>
          <w:szCs w:val="24"/>
          <w:highlight w:val="none"/>
          <w:lang w:val="en-US" w:eastAsia="zh-CN"/>
        </w:rPr>
        <w:t>3</w:t>
      </w:r>
      <w:r>
        <w:rPr>
          <w:rFonts w:hint="eastAsia" w:ascii="仿宋" w:hAnsi="仿宋" w:eastAsia="仿宋" w:cs="仿宋"/>
          <w:color w:val="auto"/>
          <w:spacing w:val="0"/>
          <w:sz w:val="24"/>
          <w:szCs w:val="24"/>
          <w:highlight w:val="none"/>
        </w:rPr>
        <w:t>遴选结果由遴选人确定后，将在官方网站进行公示。遴选申请人须及时关注官网动态，并接受社会监督；如有异议，请在规定时效内提出。</w:t>
      </w:r>
    </w:p>
    <w:p w14:paraId="0E6FD35E">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w:t>
      </w:r>
      <w:r>
        <w:rPr>
          <w:rFonts w:hint="eastAsia" w:ascii="仿宋" w:hAnsi="仿宋" w:eastAsia="仿宋" w:cs="仿宋"/>
          <w:color w:val="auto"/>
          <w:spacing w:val="0"/>
          <w:sz w:val="24"/>
          <w:szCs w:val="24"/>
          <w:highlight w:val="none"/>
          <w:lang w:val="en-US" w:eastAsia="zh-CN"/>
        </w:rPr>
        <w:t>4</w:t>
      </w:r>
      <w:r>
        <w:rPr>
          <w:rFonts w:hint="eastAsia" w:ascii="仿宋" w:hAnsi="仿宋" w:eastAsia="仿宋" w:cs="仿宋"/>
          <w:color w:val="auto"/>
          <w:spacing w:val="0"/>
          <w:sz w:val="24"/>
          <w:szCs w:val="24"/>
          <w:highlight w:val="none"/>
        </w:rPr>
        <w:t>遴选人不解释中选或落选原因，不退回遴选申请文件和其他资料。</w:t>
      </w:r>
    </w:p>
    <w:p w14:paraId="5B226BB0">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4、评标方法、细则及标准（综合评分法）</w:t>
      </w:r>
    </w:p>
    <w:p w14:paraId="1530F268">
      <w:pPr>
        <w:pStyle w:val="3"/>
        <w:pageBreakBefore w:val="0"/>
        <w:kinsoku/>
        <w:wordWrap/>
        <w:overflowPunct/>
        <w:topLinePunct w:val="0"/>
        <w:bidi w:val="0"/>
        <w:snapToGrid/>
        <w:spacing w:before="0" w:after="0" w:line="0" w:lineRule="atLeast"/>
        <w:jc w:val="both"/>
        <w:rPr>
          <w:rFonts w:hint="eastAsia" w:ascii="仿宋" w:hAnsi="仿宋" w:eastAsia="仿宋" w:cs="仿宋"/>
          <w:b/>
          <w:bCs w:val="0"/>
          <w:color w:val="auto"/>
          <w:spacing w:val="0"/>
          <w:sz w:val="24"/>
          <w:szCs w:val="24"/>
          <w:highlight w:val="none"/>
        </w:rPr>
      </w:pPr>
      <w:r>
        <w:rPr>
          <w:rFonts w:hint="eastAsia" w:ascii="仿宋" w:hAnsi="仿宋" w:eastAsia="仿宋" w:cs="仿宋"/>
          <w:b/>
          <w:bCs w:val="0"/>
          <w:color w:val="auto"/>
          <w:spacing w:val="0"/>
          <w:sz w:val="24"/>
          <w:szCs w:val="24"/>
          <w:highlight w:val="none"/>
          <w:lang w:val="en-US" w:eastAsia="zh-CN"/>
        </w:rPr>
        <w:t>4.1</w:t>
      </w:r>
      <w:r>
        <w:rPr>
          <w:rFonts w:hint="eastAsia" w:ascii="仿宋" w:hAnsi="仿宋" w:eastAsia="仿宋" w:cs="仿宋"/>
          <w:b/>
          <w:bCs w:val="0"/>
          <w:color w:val="auto"/>
          <w:spacing w:val="0"/>
          <w:sz w:val="24"/>
          <w:szCs w:val="24"/>
          <w:highlight w:val="none"/>
        </w:rPr>
        <w:t>评分办法：</w:t>
      </w:r>
    </w:p>
    <w:p w14:paraId="535DE4EA">
      <w:pPr>
        <w:pStyle w:val="3"/>
        <w:pageBreakBefore w:val="0"/>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color w:val="auto"/>
          <w:spacing w:val="0"/>
          <w:sz w:val="24"/>
          <w:szCs w:val="24"/>
          <w:highlight w:val="none"/>
        </w:rPr>
        <w:t>由评标委员会各成员对</w:t>
      </w:r>
      <w:r>
        <w:rPr>
          <w:rFonts w:hint="eastAsia" w:ascii="仿宋" w:hAnsi="仿宋" w:eastAsia="仿宋" w:cs="仿宋"/>
          <w:b/>
          <w:bCs w:val="0"/>
          <w:color w:val="auto"/>
          <w:spacing w:val="0"/>
          <w:sz w:val="24"/>
          <w:szCs w:val="24"/>
          <w:highlight w:val="none"/>
        </w:rPr>
        <w:t>通过资格审查和符合性审查的</w:t>
      </w:r>
      <w:r>
        <w:rPr>
          <w:rFonts w:hint="eastAsia" w:ascii="仿宋" w:hAnsi="仿宋" w:eastAsia="仿宋" w:cs="仿宋"/>
          <w:b w:val="0"/>
          <w:bCs/>
          <w:color w:val="auto"/>
          <w:spacing w:val="0"/>
          <w:sz w:val="24"/>
          <w:szCs w:val="24"/>
          <w:highlight w:val="none"/>
          <w:lang w:val="en-US" w:eastAsia="zh-CN"/>
        </w:rPr>
        <w:t>遴选申请</w:t>
      </w:r>
      <w:r>
        <w:rPr>
          <w:rFonts w:hint="eastAsia" w:ascii="仿宋" w:hAnsi="仿宋" w:eastAsia="仿宋" w:cs="仿宋"/>
          <w:b w:val="0"/>
          <w:bCs/>
          <w:color w:val="auto"/>
          <w:spacing w:val="0"/>
          <w:sz w:val="24"/>
          <w:szCs w:val="24"/>
          <w:highlight w:val="none"/>
        </w:rPr>
        <w:t>人的</w:t>
      </w:r>
      <w:r>
        <w:rPr>
          <w:rFonts w:hint="eastAsia" w:ascii="仿宋" w:hAnsi="仿宋" w:eastAsia="仿宋" w:cs="仿宋"/>
          <w:b w:val="0"/>
          <w:bCs/>
          <w:color w:val="auto"/>
          <w:spacing w:val="0"/>
          <w:sz w:val="24"/>
          <w:szCs w:val="24"/>
          <w:highlight w:val="none"/>
          <w:lang w:val="en-US" w:eastAsia="zh-CN"/>
        </w:rPr>
        <w:t>遴选申请</w:t>
      </w:r>
      <w:r>
        <w:rPr>
          <w:rFonts w:hint="eastAsia" w:ascii="仿宋" w:hAnsi="仿宋" w:eastAsia="仿宋" w:cs="仿宋"/>
          <w:b w:val="0"/>
          <w:bCs/>
          <w:color w:val="auto"/>
          <w:spacing w:val="0"/>
          <w:sz w:val="24"/>
          <w:szCs w:val="24"/>
          <w:highlight w:val="none"/>
        </w:rPr>
        <w:t>文件进行独立评标。</w:t>
      </w:r>
    </w:p>
    <w:p w14:paraId="48AB4004">
      <w:pPr>
        <w:pStyle w:val="3"/>
        <w:pageBreakBefore w:val="0"/>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color w:val="auto"/>
          <w:spacing w:val="0"/>
          <w:sz w:val="24"/>
          <w:szCs w:val="24"/>
          <w:highlight w:val="none"/>
        </w:rPr>
        <w:t>评标总得分＝F1×A1＋F2×A2＋……＋Fn×An</w:t>
      </w:r>
    </w:p>
    <w:p w14:paraId="73ADEEA4">
      <w:pPr>
        <w:pStyle w:val="3"/>
        <w:pageBreakBefore w:val="0"/>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color w:val="auto"/>
          <w:spacing w:val="0"/>
          <w:sz w:val="24"/>
          <w:szCs w:val="24"/>
          <w:highlight w:val="none"/>
        </w:rPr>
        <w:t>F1、F2……Fn分别为各项评审因素的得分；</w:t>
      </w:r>
    </w:p>
    <w:p w14:paraId="1E0CF784">
      <w:pPr>
        <w:pStyle w:val="3"/>
        <w:pageBreakBefore w:val="0"/>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color w:val="auto"/>
          <w:spacing w:val="0"/>
          <w:sz w:val="24"/>
          <w:szCs w:val="24"/>
          <w:highlight w:val="none"/>
        </w:rPr>
        <w:t>A1、A2、……An 分别为各项评审因素所占的权重（A1＋A2＋……＋An＝1）。</w:t>
      </w:r>
    </w:p>
    <w:p w14:paraId="19F0C245">
      <w:pPr>
        <w:pStyle w:val="3"/>
        <w:pageBreakBefore w:val="0"/>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color w:val="auto"/>
          <w:spacing w:val="0"/>
          <w:sz w:val="24"/>
          <w:szCs w:val="24"/>
          <w:highlight w:val="none"/>
        </w:rPr>
        <w:t>评标过程中，不得去掉报价中的最高报价和最低报价。</w:t>
      </w:r>
    </w:p>
    <w:p w14:paraId="621C4DE3">
      <w:pPr>
        <w:pStyle w:val="3"/>
        <w:pageBreakBefore w:val="0"/>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color w:val="auto"/>
          <w:spacing w:val="0"/>
          <w:sz w:val="24"/>
          <w:szCs w:val="24"/>
          <w:highlight w:val="none"/>
        </w:rPr>
        <w:t>说明：1.评分的取值按四舍五入法，保留小数点后两位；</w:t>
      </w:r>
    </w:p>
    <w:p w14:paraId="68593C86">
      <w:pPr>
        <w:pStyle w:val="3"/>
        <w:pageBreakBefore w:val="0"/>
        <w:numPr>
          <w:ilvl w:val="0"/>
          <w:numId w:val="0"/>
        </w:numPr>
        <w:kinsoku/>
        <w:wordWrap/>
        <w:overflowPunct/>
        <w:topLinePunct w:val="0"/>
        <w:bidi w:val="0"/>
        <w:snapToGrid/>
        <w:spacing w:before="0" w:after="0" w:line="0" w:lineRule="atLeast"/>
        <w:jc w:val="both"/>
        <w:rPr>
          <w:rFonts w:hint="eastAsia" w:ascii="仿宋" w:hAnsi="仿宋" w:eastAsia="仿宋" w:cs="仿宋"/>
          <w:b w:val="0"/>
          <w:bCs/>
          <w:color w:val="auto"/>
          <w:spacing w:val="0"/>
          <w:sz w:val="24"/>
          <w:szCs w:val="24"/>
          <w:highlight w:val="none"/>
        </w:rPr>
      </w:pPr>
      <w:r>
        <w:rPr>
          <w:rFonts w:hint="eastAsia" w:ascii="仿宋" w:hAnsi="仿宋" w:eastAsia="仿宋" w:cs="仿宋"/>
          <w:b w:val="0"/>
          <w:bCs/>
          <w:iCs/>
          <w:color w:val="auto"/>
          <w:spacing w:val="0"/>
          <w:kern w:val="2"/>
          <w:sz w:val="24"/>
          <w:szCs w:val="24"/>
          <w:highlight w:val="none"/>
          <w:lang w:val="en-US" w:eastAsia="zh-CN" w:bidi="ar-SA"/>
        </w:rPr>
        <w:t>2.</w:t>
      </w:r>
      <w:r>
        <w:rPr>
          <w:rFonts w:hint="eastAsia" w:ascii="仿宋" w:hAnsi="仿宋" w:eastAsia="仿宋" w:cs="仿宋"/>
          <w:b w:val="0"/>
          <w:bCs/>
          <w:color w:val="auto"/>
          <w:spacing w:val="0"/>
          <w:sz w:val="24"/>
          <w:szCs w:val="24"/>
          <w:highlight w:val="none"/>
        </w:rPr>
        <w:t>评分标准中要求提供的证明材料须清晰可辨。</w:t>
      </w:r>
    </w:p>
    <w:p w14:paraId="54625B83">
      <w:pPr>
        <w:numPr>
          <w:ilvl w:val="-1"/>
          <w:numId w:val="0"/>
        </w:numPr>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4.2综合评分明细表</w:t>
      </w:r>
      <w:r>
        <w:rPr>
          <w:rFonts w:hint="eastAsia" w:ascii="仿宋" w:hAnsi="仿宋" w:eastAsia="仿宋" w:cs="仿宋"/>
          <w:b/>
          <w:bCs/>
          <w:color w:val="auto"/>
          <w:sz w:val="24"/>
          <w:szCs w:val="24"/>
          <w:highlight w:val="none"/>
          <w:lang w:eastAsia="zh-CN"/>
        </w:rPr>
        <w:t>：</w:t>
      </w:r>
    </w:p>
    <w:tbl>
      <w:tblPr>
        <w:tblStyle w:val="16"/>
        <w:tblpPr w:leftFromText="180" w:rightFromText="180" w:vertAnchor="text" w:horzAnchor="page" w:tblpX="1240" w:tblpY="292"/>
        <w:tblOverlap w:val="never"/>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3"/>
        <w:gridCol w:w="993"/>
        <w:gridCol w:w="6447"/>
        <w:gridCol w:w="537"/>
        <w:gridCol w:w="816"/>
      </w:tblGrid>
      <w:tr w14:paraId="7059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428" w:type="pct"/>
            <w:vAlign w:val="center"/>
          </w:tcPr>
          <w:p w14:paraId="16B8A8C4">
            <w:pPr>
              <w:keepNext w:val="0"/>
              <w:keepLines w:val="0"/>
              <w:widowControl/>
              <w:numPr>
                <w:ilvl w:val="0"/>
                <w:numId w:val="0"/>
              </w:numPr>
              <w:suppressLineNumbers w:val="0"/>
              <w:spacing w:before="0" w:beforeAutospacing="0" w:after="0" w:afterAutospacing="0" w:line="240" w:lineRule="auto"/>
              <w:ind w:left="0" w:leftChars="0" w:right="0" w:rightChars="0"/>
              <w:jc w:val="center"/>
              <w:textAlignment w:val="auto"/>
              <w:rPr>
                <w:rFonts w:hint="eastAsia" w:ascii="仿宋" w:hAnsi="仿宋" w:eastAsia="仿宋" w:cs="仿宋"/>
                <w:b/>
                <w:bCs/>
                <w:color w:val="auto"/>
                <w:spacing w:val="0"/>
                <w:sz w:val="24"/>
                <w:szCs w:val="24"/>
                <w:highlight w:val="none"/>
                <w:vertAlign w:val="baseline"/>
              </w:rPr>
            </w:pPr>
            <w:r>
              <w:rPr>
                <w:rFonts w:hint="eastAsia" w:ascii="仿宋" w:hAnsi="仿宋" w:eastAsia="仿宋" w:cs="仿宋"/>
                <w:b/>
                <w:bCs/>
                <w:i w:val="0"/>
                <w:iCs w:val="0"/>
                <w:caps w:val="0"/>
                <w:color w:val="auto"/>
                <w:spacing w:val="0"/>
                <w:kern w:val="0"/>
                <w:sz w:val="24"/>
                <w:szCs w:val="24"/>
                <w:highlight w:val="none"/>
                <w:lang w:val="en-US" w:eastAsia="zh-CN" w:bidi="ar"/>
              </w:rPr>
              <w:t>评审内容分类</w:t>
            </w:r>
          </w:p>
        </w:tc>
        <w:tc>
          <w:tcPr>
            <w:tcW w:w="516" w:type="pct"/>
            <w:vAlign w:val="center"/>
          </w:tcPr>
          <w:p w14:paraId="2BFC840D">
            <w:pPr>
              <w:keepNext w:val="0"/>
              <w:keepLines w:val="0"/>
              <w:widowControl/>
              <w:numPr>
                <w:ilvl w:val="0"/>
                <w:numId w:val="0"/>
              </w:numPr>
              <w:suppressLineNumbers w:val="0"/>
              <w:spacing w:before="0" w:beforeAutospacing="0" w:after="0" w:afterAutospacing="0" w:line="240" w:lineRule="auto"/>
              <w:ind w:left="0" w:leftChars="0" w:right="0" w:rightChars="0"/>
              <w:jc w:val="center"/>
              <w:textAlignment w:val="auto"/>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评审</w:t>
            </w:r>
          </w:p>
          <w:p w14:paraId="51D99672">
            <w:pPr>
              <w:keepNext w:val="0"/>
              <w:keepLines w:val="0"/>
              <w:widowControl/>
              <w:numPr>
                <w:ilvl w:val="0"/>
                <w:numId w:val="0"/>
              </w:numPr>
              <w:suppressLineNumbers w:val="0"/>
              <w:spacing w:before="0" w:beforeAutospacing="0" w:after="0" w:afterAutospacing="0" w:line="240" w:lineRule="auto"/>
              <w:ind w:left="0" w:leftChars="0" w:right="0" w:rightChars="0"/>
              <w:jc w:val="center"/>
              <w:textAlignment w:val="auto"/>
              <w:rPr>
                <w:rFonts w:hint="eastAsia" w:ascii="仿宋" w:hAnsi="仿宋" w:eastAsia="仿宋" w:cs="仿宋"/>
                <w:b/>
                <w:bCs/>
                <w:color w:val="auto"/>
                <w:spacing w:val="0"/>
                <w:sz w:val="24"/>
                <w:szCs w:val="24"/>
                <w:highlight w:val="none"/>
                <w:vertAlign w:val="baseline"/>
              </w:rPr>
            </w:pPr>
            <w:r>
              <w:rPr>
                <w:rFonts w:hint="eastAsia" w:ascii="仿宋" w:hAnsi="仿宋" w:eastAsia="仿宋" w:cs="仿宋"/>
                <w:b/>
                <w:bCs/>
                <w:i w:val="0"/>
                <w:iCs w:val="0"/>
                <w:caps w:val="0"/>
                <w:color w:val="auto"/>
                <w:spacing w:val="0"/>
                <w:kern w:val="0"/>
                <w:sz w:val="24"/>
                <w:szCs w:val="24"/>
                <w:highlight w:val="none"/>
                <w:lang w:val="en-US" w:eastAsia="zh-CN" w:bidi="ar"/>
              </w:rPr>
              <w:t>内容</w:t>
            </w:r>
          </w:p>
        </w:tc>
        <w:tc>
          <w:tcPr>
            <w:tcW w:w="3351" w:type="pct"/>
            <w:vAlign w:val="center"/>
          </w:tcPr>
          <w:p w14:paraId="5E1CE998">
            <w:pPr>
              <w:keepNext w:val="0"/>
              <w:keepLines w:val="0"/>
              <w:widowControl/>
              <w:numPr>
                <w:ilvl w:val="0"/>
                <w:numId w:val="0"/>
              </w:numPr>
              <w:suppressLineNumbers w:val="0"/>
              <w:spacing w:before="0" w:beforeAutospacing="0" w:after="0" w:afterAutospacing="0" w:line="240" w:lineRule="auto"/>
              <w:ind w:left="0" w:leftChars="0" w:right="0" w:rightChars="0"/>
              <w:jc w:val="center"/>
              <w:textAlignment w:val="auto"/>
              <w:rPr>
                <w:rFonts w:hint="eastAsia" w:ascii="仿宋" w:hAnsi="仿宋" w:eastAsia="仿宋" w:cs="仿宋"/>
                <w:b/>
                <w:bCs/>
                <w:color w:val="auto"/>
                <w:spacing w:val="0"/>
                <w:sz w:val="24"/>
                <w:szCs w:val="24"/>
                <w:highlight w:val="none"/>
                <w:vertAlign w:val="baseline"/>
              </w:rPr>
            </w:pPr>
            <w:r>
              <w:rPr>
                <w:rFonts w:hint="eastAsia" w:ascii="仿宋" w:hAnsi="仿宋" w:eastAsia="仿宋" w:cs="仿宋"/>
                <w:b/>
                <w:bCs/>
                <w:i w:val="0"/>
                <w:iCs w:val="0"/>
                <w:caps w:val="0"/>
                <w:color w:val="auto"/>
                <w:spacing w:val="0"/>
                <w:kern w:val="0"/>
                <w:sz w:val="24"/>
                <w:szCs w:val="24"/>
                <w:highlight w:val="none"/>
                <w:lang w:val="en-US" w:eastAsia="zh-CN" w:bidi="ar"/>
              </w:rPr>
              <w:t>具体标准和要求</w:t>
            </w:r>
          </w:p>
        </w:tc>
        <w:tc>
          <w:tcPr>
            <w:tcW w:w="279" w:type="pct"/>
            <w:vAlign w:val="center"/>
          </w:tcPr>
          <w:p w14:paraId="75504068">
            <w:pPr>
              <w:keepNext w:val="0"/>
              <w:keepLines w:val="0"/>
              <w:widowControl/>
              <w:numPr>
                <w:ilvl w:val="0"/>
                <w:numId w:val="0"/>
              </w:numPr>
              <w:suppressLineNumbers w:val="0"/>
              <w:spacing w:before="0" w:beforeAutospacing="0" w:after="0" w:afterAutospacing="0" w:line="240" w:lineRule="auto"/>
              <w:ind w:left="0" w:leftChars="0" w:right="0" w:rightChars="0"/>
              <w:jc w:val="center"/>
              <w:textAlignment w:val="auto"/>
              <w:rPr>
                <w:rFonts w:hint="eastAsia" w:ascii="仿宋" w:hAnsi="仿宋" w:eastAsia="仿宋" w:cs="仿宋"/>
                <w:b/>
                <w:bCs/>
                <w:color w:val="auto"/>
                <w:spacing w:val="0"/>
                <w:sz w:val="24"/>
                <w:szCs w:val="24"/>
                <w:highlight w:val="none"/>
                <w:vertAlign w:val="baseline"/>
              </w:rPr>
            </w:pPr>
            <w:r>
              <w:rPr>
                <w:rFonts w:hint="eastAsia" w:ascii="仿宋" w:hAnsi="仿宋" w:eastAsia="仿宋" w:cs="仿宋"/>
                <w:b/>
                <w:bCs/>
                <w:i w:val="0"/>
                <w:iCs w:val="0"/>
                <w:caps w:val="0"/>
                <w:color w:val="auto"/>
                <w:spacing w:val="0"/>
                <w:kern w:val="0"/>
                <w:sz w:val="24"/>
                <w:szCs w:val="24"/>
                <w:highlight w:val="none"/>
                <w:lang w:val="en-US" w:eastAsia="zh-CN" w:bidi="ar"/>
              </w:rPr>
              <w:t>分值</w:t>
            </w:r>
          </w:p>
        </w:tc>
        <w:tc>
          <w:tcPr>
            <w:tcW w:w="424" w:type="pct"/>
            <w:vAlign w:val="center"/>
          </w:tcPr>
          <w:p w14:paraId="06F8F8A9">
            <w:pPr>
              <w:keepNext w:val="0"/>
              <w:keepLines w:val="0"/>
              <w:widowControl/>
              <w:numPr>
                <w:ilvl w:val="0"/>
                <w:numId w:val="0"/>
              </w:numPr>
              <w:suppressLineNumbers w:val="0"/>
              <w:spacing w:before="0" w:beforeAutospacing="0" w:after="0" w:afterAutospacing="0" w:line="240" w:lineRule="auto"/>
              <w:ind w:left="0" w:leftChars="0" w:right="0" w:rightChars="0"/>
              <w:jc w:val="center"/>
              <w:textAlignment w:val="auto"/>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24"/>
                <w:szCs w:val="24"/>
                <w:highlight w:val="none"/>
                <w:lang w:val="en-US" w:eastAsia="zh-CN" w:bidi="ar"/>
              </w:rPr>
              <w:t>关联响应文件</w:t>
            </w:r>
          </w:p>
        </w:tc>
      </w:tr>
      <w:tr w14:paraId="662D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Align w:val="center"/>
          </w:tcPr>
          <w:p w14:paraId="7AD74E8D">
            <w:pPr>
              <w:keepNext w:val="0"/>
              <w:keepLines w:val="0"/>
              <w:widowControl/>
              <w:suppressLineNumbers w:val="0"/>
              <w:spacing w:before="0" w:beforeAutospacing="0" w:after="0" w:afterAutospacing="0" w:line="288" w:lineRule="atLeast"/>
              <w:ind w:left="0" w:leftChars="0" w:right="0" w:rightChars="0"/>
              <w:jc w:val="center"/>
              <w:textAlignment w:val="top"/>
              <w:rPr>
                <w:rFonts w:hint="eastAsia" w:ascii="仿宋" w:hAnsi="仿宋" w:eastAsia="仿宋" w:cs="仿宋"/>
                <w:bCs w:val="0"/>
                <w:color w:val="auto"/>
                <w:spacing w:val="0"/>
                <w:sz w:val="24"/>
                <w:szCs w:val="24"/>
                <w:highlight w:val="none"/>
                <w:vertAlign w:val="baseline"/>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价格部分</w:t>
            </w:r>
          </w:p>
        </w:tc>
        <w:tc>
          <w:tcPr>
            <w:tcW w:w="516" w:type="pct"/>
            <w:vAlign w:val="center"/>
          </w:tcPr>
          <w:p w14:paraId="2B129518">
            <w:pPr>
              <w:keepNext w:val="0"/>
              <w:keepLines w:val="0"/>
              <w:widowControl/>
              <w:suppressLineNumbers w:val="0"/>
              <w:spacing w:before="0" w:beforeAutospacing="0" w:after="0" w:afterAutospacing="0" w:line="288" w:lineRule="atLeast"/>
              <w:ind w:left="0" w:leftChars="0" w:right="0" w:rightChars="0"/>
              <w:jc w:val="center"/>
              <w:textAlignment w:val="top"/>
              <w:rPr>
                <w:rFonts w:hint="eastAsia" w:ascii="仿宋" w:hAnsi="仿宋" w:eastAsia="仿宋" w:cs="仿宋"/>
                <w:bCs w:val="0"/>
                <w:color w:val="auto"/>
                <w:spacing w:val="0"/>
                <w:sz w:val="24"/>
                <w:szCs w:val="24"/>
                <w:highlight w:val="none"/>
                <w:vertAlign w:val="baseline"/>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报价得分</w:t>
            </w:r>
          </w:p>
        </w:tc>
        <w:tc>
          <w:tcPr>
            <w:tcW w:w="3351" w:type="pct"/>
            <w:vAlign w:val="center"/>
          </w:tcPr>
          <w:p w14:paraId="55358E08">
            <w:pPr>
              <w:keepNext w:val="0"/>
              <w:keepLines w:val="0"/>
              <w:widowControl/>
              <w:suppressLineNumbers w:val="0"/>
              <w:spacing w:before="0" w:beforeAutospacing="0" w:after="0" w:afterAutospacing="0" w:line="288" w:lineRule="atLeast"/>
              <w:ind w:left="0" w:leftChars="0" w:right="0" w:rightChars="0" w:firstLine="480"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本项目价格分总分为50分，采用分项报价评分法，依据各分项人数占比设定评分权重。报价得分由“在职职工方案报价得分”与“单独个人方案报价得分”两部分组成，计算公式如下：</w:t>
            </w:r>
          </w:p>
          <w:p w14:paraId="4CB427D8">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报价得分＝在职职工方案报价得分＋单独个人方案报价得分</w:t>
            </w:r>
          </w:p>
          <w:p w14:paraId="5332F960">
            <w:pPr>
              <w:keepNext w:val="0"/>
              <w:keepLines w:val="0"/>
              <w:widowControl/>
              <w:suppressLineNumbers w:val="0"/>
              <w:spacing w:before="0" w:beforeAutospacing="0" w:after="0" w:afterAutospacing="0" w:line="288" w:lineRule="atLeast"/>
              <w:ind w:left="0" w:leftChars="0" w:right="0" w:rightChars="0" w:firstLine="480"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1</w:t>
            </w:r>
            <w:r>
              <w:rPr>
                <w:rFonts w:hint="eastAsia" w:ascii="仿宋" w:hAnsi="仿宋" w:eastAsia="仿宋" w:cs="仿宋"/>
                <w:color w:val="auto"/>
                <w:kern w:val="0"/>
                <w:sz w:val="24"/>
                <w:szCs w:val="24"/>
                <w:highlight w:val="none"/>
                <w:lang w:eastAsia="zh-CN" w:bidi="ar"/>
              </w:rPr>
              <w:t>、</w:t>
            </w:r>
            <w:r>
              <w:rPr>
                <w:rFonts w:hint="eastAsia" w:ascii="仿宋" w:hAnsi="仿宋" w:eastAsia="仿宋" w:cs="仿宋"/>
                <w:color w:val="auto"/>
                <w:kern w:val="0"/>
                <w:sz w:val="24"/>
                <w:szCs w:val="24"/>
                <w:highlight w:val="none"/>
                <w:lang w:bidi="ar"/>
              </w:rPr>
              <w:t>在职职工方案报价得分（权重95%，满分47.5分）：</w:t>
            </w:r>
          </w:p>
          <w:p w14:paraId="66DB5903">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满足遴选文件要求且价格最低的报价为评审基准价，其价格得分为满分（47.5分）。其他供应商的报价得分统一按照下列公式计算：在职职工方案报价得分＝（评审基准价/报价）×47.5</w:t>
            </w:r>
          </w:p>
          <w:p w14:paraId="22F608FD">
            <w:pPr>
              <w:keepNext w:val="0"/>
              <w:keepLines w:val="0"/>
              <w:widowControl/>
              <w:suppressLineNumbers w:val="0"/>
              <w:spacing w:before="0" w:beforeAutospacing="0" w:after="0" w:afterAutospacing="0" w:line="288" w:lineRule="atLeast"/>
              <w:ind w:left="0" w:leftChars="0" w:right="0" w:rightChars="0" w:firstLine="480"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2</w:t>
            </w:r>
            <w:r>
              <w:rPr>
                <w:rFonts w:hint="eastAsia" w:ascii="仿宋" w:hAnsi="仿宋" w:eastAsia="仿宋" w:cs="仿宋"/>
                <w:color w:val="auto"/>
                <w:kern w:val="0"/>
                <w:sz w:val="24"/>
                <w:szCs w:val="24"/>
                <w:highlight w:val="none"/>
                <w:lang w:eastAsia="zh-CN" w:bidi="ar"/>
              </w:rPr>
              <w:t>、</w:t>
            </w:r>
            <w:r>
              <w:rPr>
                <w:rFonts w:hint="eastAsia" w:ascii="仿宋" w:hAnsi="仿宋" w:eastAsia="仿宋" w:cs="仿宋"/>
                <w:color w:val="auto"/>
                <w:kern w:val="0"/>
                <w:sz w:val="24"/>
                <w:szCs w:val="24"/>
                <w:highlight w:val="none"/>
                <w:lang w:bidi="ar"/>
              </w:rPr>
              <w:t>单独个人方案报价得分（权重5%，满分2.5分）：</w:t>
            </w:r>
          </w:p>
          <w:p w14:paraId="0AC88F79">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满足遴选文件要求且价格最低的报价为评审基准价，其价格得分为满分（2.5分）。其他供应商的报价得分统一按照下列公式计算：单独个人方案报价得分＝（评审基准价/报价）×2.5</w:t>
            </w:r>
          </w:p>
        </w:tc>
        <w:tc>
          <w:tcPr>
            <w:tcW w:w="279" w:type="pct"/>
            <w:vAlign w:val="center"/>
          </w:tcPr>
          <w:p w14:paraId="175308F9">
            <w:pPr>
              <w:keepNext w:val="0"/>
              <w:keepLines w:val="0"/>
              <w:widowControl/>
              <w:suppressLineNumbers w:val="0"/>
              <w:spacing w:before="0" w:beforeAutospacing="0" w:after="0" w:afterAutospacing="0" w:line="288" w:lineRule="atLeast"/>
              <w:ind w:left="0" w:leftChars="0" w:right="0" w:rightChars="0"/>
              <w:jc w:val="center"/>
              <w:textAlignment w:val="top"/>
              <w:rPr>
                <w:rFonts w:hint="default" w:ascii="仿宋" w:hAnsi="仿宋" w:eastAsia="仿宋" w:cs="仿宋"/>
                <w:bCs w:val="0"/>
                <w:color w:val="auto"/>
                <w:spacing w:val="0"/>
                <w:sz w:val="24"/>
                <w:szCs w:val="24"/>
                <w:highlight w:val="none"/>
                <w:vertAlign w:val="baseline"/>
                <w:lang w:val="en-US"/>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50</w:t>
            </w:r>
          </w:p>
        </w:tc>
        <w:tc>
          <w:tcPr>
            <w:tcW w:w="424" w:type="pct"/>
            <w:vAlign w:val="center"/>
          </w:tcPr>
          <w:p w14:paraId="23024DA5">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Fonts w:hint="eastAsia" w:ascii="仿宋" w:hAnsi="仿宋" w:eastAsia="仿宋" w:cs="仿宋"/>
                <w:color w:val="auto"/>
                <w:kern w:val="0"/>
                <w:sz w:val="24"/>
                <w:szCs w:val="24"/>
                <w:highlight w:val="none"/>
                <w:lang w:bidi="ar"/>
              </w:rPr>
              <w:t>报价函</w:t>
            </w:r>
          </w:p>
        </w:tc>
      </w:tr>
      <w:tr w14:paraId="726AC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Merge w:val="restart"/>
            <w:vAlign w:val="bottom"/>
          </w:tcPr>
          <w:p w14:paraId="6E67B117">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技术及商务部分</w:t>
            </w:r>
          </w:p>
        </w:tc>
        <w:tc>
          <w:tcPr>
            <w:tcW w:w="516" w:type="pct"/>
            <w:vAlign w:val="center"/>
          </w:tcPr>
          <w:p w14:paraId="01E9D06B">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1.理赔服务方案</w:t>
            </w:r>
          </w:p>
        </w:tc>
        <w:tc>
          <w:tcPr>
            <w:tcW w:w="3351" w:type="pct"/>
            <w:vAlign w:val="center"/>
          </w:tcPr>
          <w:p w14:paraId="6995FB09">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对遴选申请人提供的理赔服务方案进行综合评分，内容包含但不限于：①理赔措施及流程；②应急预案；③理赔时间进度保障；④理赔查询服务。</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评分标准：</w:t>
            </w:r>
            <w:r>
              <w:rPr>
                <w:rFonts w:hint="eastAsia" w:ascii="仿宋" w:hAnsi="仿宋" w:eastAsia="仿宋" w:cs="仿宋"/>
                <w:i w:val="0"/>
                <w:iCs w:val="0"/>
                <w:caps w:val="0"/>
                <w:color w:val="auto"/>
                <w:spacing w:val="0"/>
                <w:kern w:val="0"/>
                <w:sz w:val="24"/>
                <w:szCs w:val="24"/>
                <w:highlight w:val="none"/>
                <w:lang w:val="en-US" w:eastAsia="zh-CN" w:bidi="ar"/>
              </w:rPr>
              <w:t>完全满足以上要求的得</w:t>
            </w:r>
            <w:r>
              <w:rPr>
                <w:rFonts w:hint="eastAsia" w:ascii="仿宋" w:hAnsi="仿宋" w:eastAsia="仿宋" w:cs="仿宋"/>
                <w:b/>
                <w:bCs/>
                <w:i w:val="0"/>
                <w:iCs w:val="0"/>
                <w:caps w:val="0"/>
                <w:color w:val="auto"/>
                <w:spacing w:val="0"/>
                <w:kern w:val="0"/>
                <w:sz w:val="24"/>
                <w:szCs w:val="24"/>
                <w:highlight w:val="none"/>
                <w:lang w:val="en-US" w:eastAsia="zh-CN" w:bidi="ar"/>
              </w:rPr>
              <w:t>20</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分</w:t>
            </w:r>
            <w:r>
              <w:rPr>
                <w:rFonts w:hint="eastAsia" w:ascii="仿宋" w:hAnsi="仿宋" w:eastAsia="仿宋" w:cs="仿宋"/>
                <w:i w:val="0"/>
                <w:iCs w:val="0"/>
                <w:caps w:val="0"/>
                <w:color w:val="auto"/>
                <w:spacing w:val="0"/>
                <w:kern w:val="0"/>
                <w:sz w:val="24"/>
                <w:szCs w:val="24"/>
                <w:highlight w:val="none"/>
                <w:lang w:val="en-US" w:eastAsia="zh-CN" w:bidi="ar"/>
              </w:rPr>
              <w:t>；以上方案中每缺少一项方案的扣5分；每项方案中每有一处存在缺陷的扣</w:t>
            </w:r>
            <w:r>
              <w:rPr>
                <w:rFonts w:hint="default" w:ascii="仿宋" w:hAnsi="仿宋" w:eastAsia="仿宋" w:cs="仿宋"/>
                <w:i w:val="0"/>
                <w:iCs w:val="0"/>
                <w:caps w:val="0"/>
                <w:color w:val="auto"/>
                <w:spacing w:val="0"/>
                <w:kern w:val="0"/>
                <w:sz w:val="24"/>
                <w:szCs w:val="24"/>
                <w:highlight w:val="none"/>
                <w:lang w:val="en-US" w:eastAsia="zh-CN" w:bidi="ar"/>
              </w:rPr>
              <w:t>3</w:t>
            </w:r>
            <w:r>
              <w:rPr>
                <w:rFonts w:hint="eastAsia" w:ascii="仿宋" w:hAnsi="仿宋" w:eastAsia="仿宋" w:cs="仿宋"/>
                <w:i w:val="0"/>
                <w:iCs w:val="0"/>
                <w:caps w:val="0"/>
                <w:color w:val="auto"/>
                <w:spacing w:val="0"/>
                <w:kern w:val="0"/>
                <w:sz w:val="24"/>
                <w:szCs w:val="24"/>
                <w:highlight w:val="none"/>
                <w:lang w:val="en-US" w:eastAsia="zh-CN" w:bidi="ar"/>
              </w:rPr>
              <w:t>分，直至本项分值扣完为止。</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缺陷”是指：①存在项目名称错误、地点区域错误；②本项目提供的方案中引用法律、规范、标准存在失效或错误；③内容与本项目需求无关；④内容矛盾或表述前后不一致；⑤过于简略，只有标题和框架，而缺乏实质性内容；⑥复制或套用其他项目内容；以上任意一种情形。）</w:t>
            </w:r>
          </w:p>
        </w:tc>
        <w:tc>
          <w:tcPr>
            <w:tcW w:w="279" w:type="pct"/>
            <w:vAlign w:val="center"/>
          </w:tcPr>
          <w:p w14:paraId="3682E6AA">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default"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20</w:t>
            </w:r>
          </w:p>
        </w:tc>
        <w:tc>
          <w:tcPr>
            <w:tcW w:w="424" w:type="pct"/>
            <w:vAlign w:val="center"/>
          </w:tcPr>
          <w:p w14:paraId="768E3542">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default" w:ascii="仿宋" w:hAnsi="仿宋" w:eastAsia="仿宋" w:cs="仿宋"/>
                <w:i w:val="0"/>
                <w:iCs w:val="0"/>
                <w:caps w:val="0"/>
                <w:color w:val="auto"/>
                <w:spacing w:val="0"/>
                <w:kern w:val="0"/>
                <w:sz w:val="24"/>
                <w:szCs w:val="24"/>
                <w:highlight w:val="none"/>
                <w:vertAlign w:val="baseli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遴选需求应答表</w:t>
            </w:r>
          </w:p>
        </w:tc>
      </w:tr>
      <w:tr w14:paraId="1D66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Merge w:val="continue"/>
            <w:vAlign w:val="center"/>
          </w:tcPr>
          <w:p w14:paraId="73451E97">
            <w:pPr>
              <w:jc w:val="cente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p>
        </w:tc>
        <w:tc>
          <w:tcPr>
            <w:tcW w:w="516" w:type="pct"/>
            <w:vAlign w:val="center"/>
          </w:tcPr>
          <w:p w14:paraId="174E7971">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2.承保服务方案</w:t>
            </w:r>
          </w:p>
        </w:tc>
        <w:tc>
          <w:tcPr>
            <w:tcW w:w="3351" w:type="pct"/>
            <w:vAlign w:val="center"/>
          </w:tcPr>
          <w:p w14:paraId="0BC3D1C7">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对遴选申请人提供的承保服务方案进行综合评分，内容包含但不限于：①承保服务流程；②承保服务保障方案；③承保应急处理预案；④协助调解纠纷方案。</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评分标准：</w:t>
            </w:r>
            <w:r>
              <w:rPr>
                <w:rFonts w:hint="eastAsia" w:ascii="仿宋" w:hAnsi="仿宋" w:eastAsia="仿宋" w:cs="仿宋"/>
                <w:i w:val="0"/>
                <w:iCs w:val="0"/>
                <w:caps w:val="0"/>
                <w:color w:val="auto"/>
                <w:spacing w:val="0"/>
                <w:kern w:val="0"/>
                <w:sz w:val="24"/>
                <w:szCs w:val="24"/>
                <w:highlight w:val="none"/>
                <w:lang w:val="en-US" w:eastAsia="zh-CN" w:bidi="ar"/>
              </w:rPr>
              <w:t>完全满足以上要求的得8</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分</w:t>
            </w:r>
            <w:r>
              <w:rPr>
                <w:rFonts w:hint="eastAsia" w:ascii="仿宋" w:hAnsi="仿宋" w:eastAsia="仿宋" w:cs="仿宋"/>
                <w:i w:val="0"/>
                <w:iCs w:val="0"/>
                <w:caps w:val="0"/>
                <w:color w:val="auto"/>
                <w:spacing w:val="0"/>
                <w:kern w:val="0"/>
                <w:sz w:val="24"/>
                <w:szCs w:val="24"/>
                <w:highlight w:val="none"/>
                <w:lang w:val="en-US" w:eastAsia="zh-CN" w:bidi="ar"/>
              </w:rPr>
              <w:t>；以上方案中每缺少一项方案的扣2分；每项方案中每有一处存在缺陷的扣1分，</w:t>
            </w:r>
            <w:r>
              <w:rPr>
                <w:rFonts w:hint="eastAsia" w:ascii="仿宋" w:hAnsi="仿宋" w:eastAsia="仿宋" w:cs="仿宋"/>
                <w:b/>
                <w:bCs/>
                <w:i w:val="0"/>
                <w:iCs w:val="0"/>
                <w:caps w:val="0"/>
                <w:color w:val="auto"/>
                <w:spacing w:val="0"/>
                <w:kern w:val="0"/>
                <w:sz w:val="24"/>
                <w:szCs w:val="24"/>
                <w:highlight w:val="none"/>
                <w:lang w:val="en-US" w:eastAsia="zh-CN" w:bidi="ar"/>
              </w:rPr>
              <w:t>直至本项分值扣完为止。</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Fonts w:hint="eastAsia" w:ascii="仿宋" w:hAnsi="仿宋" w:eastAsia="仿宋" w:cs="仿宋"/>
                <w:b/>
                <w:bCs/>
                <w:i w:val="0"/>
                <w:iCs w:val="0"/>
                <w:caps w:val="0"/>
                <w:color w:val="auto"/>
                <w:spacing w:val="0"/>
                <w:kern w:val="0"/>
                <w:sz w:val="24"/>
                <w:szCs w:val="24"/>
                <w:highlight w:val="none"/>
                <w:lang w:val="en-US" w:eastAsia="zh-CN" w:bidi="ar"/>
              </w:rPr>
              <w:t>（“缺陷”定义同上）</w:t>
            </w:r>
          </w:p>
        </w:tc>
        <w:tc>
          <w:tcPr>
            <w:tcW w:w="279" w:type="pct"/>
            <w:vAlign w:val="center"/>
          </w:tcPr>
          <w:p w14:paraId="555AC472">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8</w:t>
            </w:r>
          </w:p>
        </w:tc>
        <w:tc>
          <w:tcPr>
            <w:tcW w:w="424" w:type="pct"/>
            <w:vAlign w:val="center"/>
          </w:tcPr>
          <w:p w14:paraId="155904EA">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遴选需求应答表</w:t>
            </w:r>
          </w:p>
        </w:tc>
      </w:tr>
      <w:tr w14:paraId="3D08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Merge w:val="continue"/>
            <w:vAlign w:val="center"/>
          </w:tcPr>
          <w:p w14:paraId="13357D57">
            <w:pPr>
              <w:jc w:val="cente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p>
        </w:tc>
        <w:tc>
          <w:tcPr>
            <w:tcW w:w="516" w:type="pct"/>
            <w:vAlign w:val="center"/>
          </w:tcPr>
          <w:p w14:paraId="31415D3A">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3.</w:t>
            </w:r>
            <w:r>
              <w:rPr>
                <w:rStyle w:val="18"/>
                <w:rFonts w:ascii="仿宋" w:hAnsi="仿宋" w:eastAsia="仿宋" w:cs="仿宋"/>
                <w:color w:val="auto"/>
                <w:kern w:val="0"/>
                <w:sz w:val="24"/>
                <w:szCs w:val="24"/>
                <w:highlight w:val="none"/>
                <w:lang w:bidi="ar"/>
              </w:rPr>
              <w:t>人员变动与保费调整</w:t>
            </w:r>
          </w:p>
        </w:tc>
        <w:tc>
          <w:tcPr>
            <w:tcW w:w="3351" w:type="pct"/>
            <w:vAlign w:val="center"/>
          </w:tcPr>
          <w:p w14:paraId="16877366">
            <w:pPr>
              <w:keepNext w:val="0"/>
              <w:keepLines w:val="0"/>
              <w:widowControl/>
              <w:suppressLineNumbers w:val="0"/>
              <w:spacing w:before="0" w:beforeAutospacing="0" w:after="0" w:afterAutospacing="0" w:line="288" w:lineRule="atLeast"/>
              <w:ind w:left="0" w:leftChars="0" w:right="0" w:rightChars="0" w:firstLine="480"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针对医疗机构可能发生的人员增减、离职退休等变动情况，供应商提供的保费调整及服务对接方案进行评价：</w:t>
            </w:r>
          </w:p>
          <w:p w14:paraId="3EDF9DCE">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评分档位：</w:t>
            </w:r>
          </w:p>
          <w:p w14:paraId="759EFDF8">
            <w:pPr>
              <w:keepNext w:val="0"/>
              <w:keepLines w:val="0"/>
              <w:widowControl/>
              <w:suppressLineNumbers w:val="0"/>
              <w:spacing w:before="0" w:beforeAutospacing="0" w:after="0" w:afterAutospacing="0" w:line="288" w:lineRule="atLeast"/>
              <w:ind w:left="0" w:leftChars="0" w:right="0" w:rightChars="0" w:firstLine="482"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b/>
                <w:bCs/>
                <w:color w:val="auto"/>
                <w:kern w:val="0"/>
                <w:sz w:val="24"/>
                <w:szCs w:val="24"/>
                <w:highlight w:val="none"/>
                <w:lang w:bidi="ar"/>
              </w:rPr>
              <w:t>优（</w:t>
            </w:r>
            <w:r>
              <w:rPr>
                <w:rFonts w:hint="eastAsia" w:ascii="仿宋" w:hAnsi="仿宋" w:eastAsia="仿宋" w:cs="仿宋"/>
                <w:b/>
                <w:bCs/>
                <w:color w:val="auto"/>
                <w:kern w:val="0"/>
                <w:sz w:val="24"/>
                <w:szCs w:val="24"/>
                <w:highlight w:val="none"/>
                <w:lang w:val="en-US" w:eastAsia="zh-CN" w:bidi="ar"/>
              </w:rPr>
              <w:t>6</w:t>
            </w:r>
            <w:r>
              <w:rPr>
                <w:rFonts w:hint="eastAsia" w:ascii="仿宋" w:hAnsi="仿宋" w:eastAsia="仿宋" w:cs="仿宋"/>
                <w:b/>
                <w:bCs/>
                <w:color w:val="auto"/>
                <w:kern w:val="0"/>
                <w:sz w:val="24"/>
                <w:szCs w:val="24"/>
                <w:highlight w:val="none"/>
                <w:lang w:bidi="ar"/>
              </w:rPr>
              <w:t>分）</w:t>
            </w:r>
            <w:r>
              <w:rPr>
                <w:rFonts w:hint="eastAsia" w:ascii="仿宋" w:hAnsi="仿宋" w:eastAsia="仿宋" w:cs="仿宋"/>
                <w:color w:val="auto"/>
                <w:kern w:val="0"/>
                <w:sz w:val="24"/>
                <w:szCs w:val="24"/>
                <w:highlight w:val="none"/>
                <w:lang w:bidi="ar"/>
              </w:rPr>
              <w:t>：方案详细、合理，操作流程便捷，变更响应迅速，明确约定了计算标准（如按月折算保费）且有利于采购人。</w:t>
            </w:r>
          </w:p>
          <w:p w14:paraId="30B13CFF">
            <w:pPr>
              <w:keepNext w:val="0"/>
              <w:keepLines w:val="0"/>
              <w:widowControl/>
              <w:suppressLineNumbers w:val="0"/>
              <w:spacing w:before="0" w:beforeAutospacing="0" w:after="0" w:afterAutospacing="0" w:line="288" w:lineRule="atLeast"/>
              <w:ind w:left="0" w:leftChars="0" w:right="0" w:rightChars="0" w:firstLine="482"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b/>
                <w:bCs/>
                <w:color w:val="auto"/>
                <w:kern w:val="0"/>
                <w:sz w:val="24"/>
                <w:szCs w:val="24"/>
                <w:highlight w:val="none"/>
                <w:lang w:bidi="ar"/>
              </w:rPr>
              <w:t>良（</w:t>
            </w:r>
            <w:r>
              <w:rPr>
                <w:rFonts w:hint="eastAsia" w:ascii="仿宋" w:hAnsi="仿宋" w:eastAsia="仿宋" w:cs="仿宋"/>
                <w:b/>
                <w:bCs/>
                <w:color w:val="auto"/>
                <w:kern w:val="0"/>
                <w:sz w:val="24"/>
                <w:szCs w:val="24"/>
                <w:highlight w:val="none"/>
                <w:lang w:val="en-US" w:eastAsia="zh-CN" w:bidi="ar"/>
              </w:rPr>
              <w:t>3</w:t>
            </w:r>
            <w:r>
              <w:rPr>
                <w:rFonts w:hint="eastAsia" w:ascii="仿宋" w:hAnsi="仿宋" w:eastAsia="仿宋" w:cs="仿宋"/>
                <w:b/>
                <w:bCs/>
                <w:color w:val="auto"/>
                <w:kern w:val="0"/>
                <w:sz w:val="24"/>
                <w:szCs w:val="24"/>
                <w:highlight w:val="none"/>
                <w:lang w:bidi="ar"/>
              </w:rPr>
              <w:t>分）</w:t>
            </w:r>
            <w:r>
              <w:rPr>
                <w:rFonts w:hint="eastAsia" w:ascii="仿宋" w:hAnsi="仿宋" w:eastAsia="仿宋" w:cs="仿宋"/>
                <w:color w:val="auto"/>
                <w:kern w:val="0"/>
                <w:sz w:val="24"/>
                <w:szCs w:val="24"/>
                <w:highlight w:val="none"/>
                <w:lang w:bidi="ar"/>
              </w:rPr>
              <w:t>：提供了调整方案，但流程较为繁琐或表述不够清晰。</w:t>
            </w:r>
          </w:p>
          <w:p w14:paraId="236841EC">
            <w:pPr>
              <w:keepNext w:val="0"/>
              <w:keepLines w:val="0"/>
              <w:widowControl/>
              <w:suppressLineNumbers w:val="0"/>
              <w:spacing w:before="0" w:beforeAutospacing="0" w:after="0" w:afterAutospacing="0" w:line="288" w:lineRule="atLeast"/>
              <w:ind w:left="0" w:leftChars="0" w:right="0" w:rightChars="0" w:firstLine="482" w:firstLineChars="20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b/>
                <w:bCs/>
                <w:color w:val="auto"/>
                <w:kern w:val="0"/>
                <w:sz w:val="24"/>
                <w:szCs w:val="24"/>
                <w:highlight w:val="none"/>
                <w:lang w:bidi="ar"/>
              </w:rPr>
              <w:t>差（0分）</w:t>
            </w:r>
            <w:r>
              <w:rPr>
                <w:rFonts w:hint="eastAsia" w:ascii="仿宋" w:hAnsi="仿宋" w:eastAsia="仿宋" w:cs="仿宋"/>
                <w:color w:val="auto"/>
                <w:kern w:val="0"/>
                <w:sz w:val="24"/>
                <w:szCs w:val="24"/>
                <w:highlight w:val="none"/>
                <w:lang w:bidi="ar"/>
              </w:rPr>
              <w:t>：未提供方案或方案不具备可操作性。</w:t>
            </w:r>
          </w:p>
        </w:tc>
        <w:tc>
          <w:tcPr>
            <w:tcW w:w="279" w:type="pct"/>
            <w:vAlign w:val="center"/>
          </w:tcPr>
          <w:p w14:paraId="52546B23">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6</w:t>
            </w:r>
          </w:p>
        </w:tc>
        <w:tc>
          <w:tcPr>
            <w:tcW w:w="424" w:type="pct"/>
            <w:vAlign w:val="center"/>
          </w:tcPr>
          <w:p w14:paraId="33D63348">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遴选需求应答表</w:t>
            </w:r>
          </w:p>
        </w:tc>
      </w:tr>
      <w:tr w14:paraId="1C97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Merge w:val="continue"/>
            <w:vAlign w:val="center"/>
          </w:tcPr>
          <w:p w14:paraId="30F3211E">
            <w:pPr>
              <w:jc w:val="cente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p>
        </w:tc>
        <w:tc>
          <w:tcPr>
            <w:tcW w:w="516" w:type="pct"/>
            <w:vAlign w:val="center"/>
          </w:tcPr>
          <w:p w14:paraId="4E7A45D8">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ascii="仿宋" w:hAnsi="仿宋" w:eastAsia="仿宋" w:cs="仿宋"/>
                <w:color w:val="auto"/>
                <w:kern w:val="0"/>
                <w:sz w:val="24"/>
                <w:szCs w:val="24"/>
                <w:highlight w:val="none"/>
                <w:lang w:bidi="ar"/>
              </w:rPr>
              <w:t>4.保障方案与优惠措施</w:t>
            </w:r>
          </w:p>
        </w:tc>
        <w:tc>
          <w:tcPr>
            <w:tcW w:w="3351" w:type="pct"/>
            <w:vAlign w:val="center"/>
          </w:tcPr>
          <w:p w14:paraId="623C0BBD">
            <w:pPr>
              <w:keepNext w:val="0"/>
              <w:keepLines w:val="0"/>
              <w:widowControl/>
              <w:suppressLineNumbers w:val="0"/>
              <w:spacing w:before="0" w:beforeAutospacing="0" w:after="0" w:afterAutospacing="0" w:line="288" w:lineRule="atLeast"/>
              <w:ind w:left="0" w:leftChars="0" w:right="0" w:rightChars="0" w:firstLine="480"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对遴选申请人提供的保障方案进行对比评价：</w:t>
            </w:r>
          </w:p>
          <w:p w14:paraId="3D4260D2">
            <w:pPr>
              <w:keepNext w:val="0"/>
              <w:keepLines w:val="0"/>
              <w:widowControl/>
              <w:suppressLineNumbers w:val="0"/>
              <w:spacing w:before="0" w:beforeAutospacing="0" w:after="0" w:afterAutospacing="0" w:line="288" w:lineRule="atLeast"/>
              <w:ind w:left="0" w:leftChars="0" w:right="0" w:rightChars="0" w:firstLine="482"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b/>
                <w:bCs/>
                <w:color w:val="auto"/>
                <w:kern w:val="0"/>
                <w:sz w:val="24"/>
                <w:szCs w:val="24"/>
                <w:highlight w:val="none"/>
                <w:lang w:bidi="ar"/>
              </w:rPr>
              <w:t>优（6分）</w:t>
            </w:r>
            <w:r>
              <w:rPr>
                <w:rFonts w:hint="eastAsia" w:ascii="仿宋" w:hAnsi="仿宋" w:eastAsia="仿宋" w:cs="仿宋"/>
                <w:color w:val="auto"/>
                <w:kern w:val="0"/>
                <w:sz w:val="24"/>
                <w:szCs w:val="24"/>
                <w:highlight w:val="none"/>
                <w:lang w:bidi="ar"/>
              </w:rPr>
              <w:t>： 在满足遴选文件基本保额要求基础上，承诺提高保额或增加保障范围（如提高赔付比例、扩展自费药报销等），且方案具体可行，显著提升职工保障水平的。</w:t>
            </w:r>
          </w:p>
          <w:p w14:paraId="366E6EA1">
            <w:pPr>
              <w:keepNext w:val="0"/>
              <w:keepLines w:val="0"/>
              <w:widowControl/>
              <w:suppressLineNumbers w:val="0"/>
              <w:spacing w:before="0" w:beforeAutospacing="0" w:after="0" w:afterAutospacing="0" w:line="288" w:lineRule="atLeast"/>
              <w:ind w:left="0" w:leftChars="0" w:right="0" w:rightChars="0" w:firstLine="482" w:firstLineChars="200"/>
              <w:jc w:val="left"/>
              <w:textAlignment w:val="top"/>
              <w:rPr>
                <w:rFonts w:hint="eastAsia" w:ascii="仿宋" w:hAnsi="仿宋" w:eastAsia="仿宋" w:cs="仿宋"/>
                <w:color w:val="auto"/>
                <w:kern w:val="0"/>
                <w:sz w:val="24"/>
                <w:szCs w:val="24"/>
                <w:highlight w:val="none"/>
                <w:lang w:bidi="ar"/>
              </w:rPr>
            </w:pPr>
            <w:r>
              <w:rPr>
                <w:rFonts w:hint="eastAsia" w:ascii="仿宋" w:hAnsi="仿宋" w:eastAsia="仿宋" w:cs="仿宋"/>
                <w:b/>
                <w:bCs/>
                <w:color w:val="auto"/>
                <w:kern w:val="0"/>
                <w:sz w:val="24"/>
                <w:szCs w:val="24"/>
                <w:highlight w:val="none"/>
                <w:lang w:bidi="ar"/>
              </w:rPr>
              <w:t>良（3分）</w:t>
            </w:r>
            <w:r>
              <w:rPr>
                <w:rFonts w:hint="eastAsia" w:ascii="仿宋" w:hAnsi="仿宋" w:eastAsia="仿宋" w:cs="仿宋"/>
                <w:color w:val="auto"/>
                <w:kern w:val="0"/>
                <w:sz w:val="24"/>
                <w:szCs w:val="24"/>
                <w:highlight w:val="none"/>
                <w:lang w:bidi="ar"/>
              </w:rPr>
              <w:t>： 满足遴选文件基本要求，并提供其他增值服务（如健康咨询、绿通服务等），但未提高保额的。</w:t>
            </w:r>
          </w:p>
          <w:p w14:paraId="0B900D8D">
            <w:pPr>
              <w:keepNext w:val="0"/>
              <w:keepLines w:val="0"/>
              <w:widowControl/>
              <w:suppressLineNumbers w:val="0"/>
              <w:spacing w:before="0" w:beforeAutospacing="0" w:after="0" w:afterAutospacing="0" w:line="288" w:lineRule="atLeast"/>
              <w:ind w:left="0" w:leftChars="0" w:right="0" w:rightChars="0" w:firstLine="482" w:firstLineChars="20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b/>
                <w:bCs/>
                <w:color w:val="auto"/>
                <w:kern w:val="0"/>
                <w:sz w:val="24"/>
                <w:szCs w:val="24"/>
                <w:highlight w:val="none"/>
                <w:lang w:bidi="ar"/>
              </w:rPr>
              <w:t>差（0分）</w:t>
            </w:r>
            <w:r>
              <w:rPr>
                <w:rFonts w:hint="eastAsia" w:ascii="仿宋" w:hAnsi="仿宋" w:eastAsia="仿宋" w:cs="仿宋"/>
                <w:color w:val="auto"/>
                <w:kern w:val="0"/>
                <w:sz w:val="24"/>
                <w:szCs w:val="24"/>
                <w:highlight w:val="none"/>
                <w:lang w:bidi="ar"/>
              </w:rPr>
              <w:t>： 仅满足遴选文件基本要求，无任何额外保障或增值服务承诺的。</w:t>
            </w:r>
          </w:p>
        </w:tc>
        <w:tc>
          <w:tcPr>
            <w:tcW w:w="279" w:type="pct"/>
            <w:vAlign w:val="center"/>
          </w:tcPr>
          <w:p w14:paraId="6F2E15E7">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default"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6</w:t>
            </w:r>
          </w:p>
        </w:tc>
        <w:tc>
          <w:tcPr>
            <w:tcW w:w="424" w:type="pct"/>
            <w:vAlign w:val="center"/>
          </w:tcPr>
          <w:p w14:paraId="77DA6AE0">
            <w:pPr>
              <w:keepNext w:val="0"/>
              <w:keepLines w:val="0"/>
              <w:widowControl/>
              <w:suppressLineNumbers w:val="0"/>
              <w:spacing w:before="0" w:beforeAutospacing="0" w:after="0" w:afterAutospacing="0" w:line="288" w:lineRule="atLeast"/>
              <w:ind w:left="0" w:leftChars="0" w:right="0" w:rightChars="0"/>
              <w:jc w:val="center"/>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color w:val="auto"/>
                <w:kern w:val="0"/>
                <w:sz w:val="24"/>
                <w:szCs w:val="24"/>
                <w:highlight w:val="none"/>
                <w:lang w:bidi="ar"/>
              </w:rPr>
              <w:t>保障方案/承诺函</w:t>
            </w:r>
          </w:p>
        </w:tc>
      </w:tr>
      <w:tr w14:paraId="4151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Merge w:val="continue"/>
            <w:vAlign w:val="center"/>
          </w:tcPr>
          <w:p w14:paraId="27A44E18">
            <w:pPr>
              <w:jc w:val="cente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p>
        </w:tc>
        <w:tc>
          <w:tcPr>
            <w:tcW w:w="516" w:type="pct"/>
            <w:vAlign w:val="center"/>
          </w:tcPr>
          <w:p w14:paraId="45D02C08">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5.综合偿付能力充足率</w:t>
            </w:r>
          </w:p>
        </w:tc>
        <w:tc>
          <w:tcPr>
            <w:tcW w:w="3351" w:type="pct"/>
            <w:vAlign w:val="center"/>
          </w:tcPr>
          <w:p w14:paraId="79D894D1">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color w:val="auto"/>
                <w:kern w:val="0"/>
                <w:sz w:val="24"/>
                <w:szCs w:val="24"/>
                <w:highlight w:val="none"/>
                <w:lang w:bidi="ar"/>
              </w:rPr>
              <w:t>根据供应商提供的</w:t>
            </w:r>
            <w:r>
              <w:rPr>
                <w:rFonts w:hint="eastAsia" w:ascii="仿宋" w:hAnsi="仿宋" w:eastAsia="仿宋" w:cs="仿宋"/>
                <w:b/>
                <w:bCs/>
                <w:color w:val="auto"/>
                <w:kern w:val="0"/>
                <w:sz w:val="24"/>
                <w:szCs w:val="24"/>
                <w:highlight w:val="none"/>
                <w:lang w:bidi="ar"/>
              </w:rPr>
              <w:t>2026年第二季度</w:t>
            </w:r>
            <w:r>
              <w:rPr>
                <w:rFonts w:hint="eastAsia" w:ascii="仿宋" w:hAnsi="仿宋" w:eastAsia="仿宋" w:cs="仿宋"/>
                <w:color w:val="auto"/>
                <w:kern w:val="0"/>
                <w:sz w:val="24"/>
                <w:szCs w:val="24"/>
                <w:highlight w:val="none"/>
                <w:lang w:bidi="ar"/>
              </w:rPr>
              <w:t>的综合偿付能力充足率数据进行评审</w:t>
            </w:r>
            <w:r>
              <w:rPr>
                <w:rFonts w:hint="eastAsia" w:ascii="仿宋" w:hAnsi="仿宋" w:eastAsia="仿宋" w:cs="仿宋"/>
                <w:i w:val="0"/>
                <w:iCs w:val="0"/>
                <w:caps w:val="0"/>
                <w:color w:val="auto"/>
                <w:spacing w:val="0"/>
                <w:kern w:val="0"/>
                <w:sz w:val="24"/>
                <w:szCs w:val="24"/>
                <w:highlight w:val="none"/>
                <w:lang w:val="en-US" w:eastAsia="zh-CN" w:bidi="ar"/>
              </w:rPr>
              <w:t>：</w:t>
            </w:r>
          </w:p>
          <w:p w14:paraId="504C220D">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1、综合偿付能力充足率在</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200%（含）以上</w:t>
            </w:r>
            <w:r>
              <w:rPr>
                <w:rFonts w:hint="eastAsia" w:ascii="仿宋" w:hAnsi="仿宋" w:eastAsia="仿宋" w:cs="仿宋"/>
                <w:i w:val="0"/>
                <w:iCs w:val="0"/>
                <w:caps w:val="0"/>
                <w:color w:val="auto"/>
                <w:spacing w:val="0"/>
                <w:kern w:val="0"/>
                <w:sz w:val="24"/>
                <w:szCs w:val="24"/>
                <w:highlight w:val="none"/>
                <w:lang w:val="en-US" w:eastAsia="zh-CN" w:bidi="ar"/>
              </w:rPr>
              <w:t>，得5</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分</w:t>
            </w:r>
            <w:r>
              <w:rPr>
                <w:rFonts w:hint="eastAsia" w:ascii="仿宋" w:hAnsi="仿宋" w:eastAsia="仿宋" w:cs="仿宋"/>
                <w:i w:val="0"/>
                <w:iCs w:val="0"/>
                <w:caps w:val="0"/>
                <w:color w:val="auto"/>
                <w:spacing w:val="0"/>
                <w:kern w:val="0"/>
                <w:sz w:val="24"/>
                <w:szCs w:val="24"/>
                <w:highlight w:val="none"/>
                <w:lang w:val="en-US" w:eastAsia="zh-CN" w:bidi="ar"/>
              </w:rPr>
              <w:t>；</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Fonts w:hint="eastAsia" w:ascii="仿宋" w:hAnsi="仿宋" w:eastAsia="仿宋" w:cs="仿宋"/>
                <w:i w:val="0"/>
                <w:iCs w:val="0"/>
                <w:caps w:val="0"/>
                <w:color w:val="auto"/>
                <w:spacing w:val="0"/>
                <w:kern w:val="0"/>
                <w:sz w:val="24"/>
                <w:szCs w:val="24"/>
                <w:highlight w:val="none"/>
                <w:lang w:val="en-US" w:eastAsia="zh-CN" w:bidi="ar"/>
              </w:rPr>
              <w:t>2、综合偿付能力充足率在</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150%(含)-200%(不含)</w:t>
            </w:r>
            <w:r>
              <w:rPr>
                <w:rFonts w:hint="eastAsia" w:ascii="仿宋" w:hAnsi="仿宋" w:eastAsia="仿宋" w:cs="仿宋"/>
                <w:i w:val="0"/>
                <w:iCs w:val="0"/>
                <w:caps w:val="0"/>
                <w:color w:val="auto"/>
                <w:spacing w:val="0"/>
                <w:kern w:val="0"/>
                <w:sz w:val="24"/>
                <w:szCs w:val="24"/>
                <w:highlight w:val="none"/>
                <w:lang w:val="en-US" w:eastAsia="zh-CN" w:bidi="ar"/>
              </w:rPr>
              <w:t>，得3</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分</w:t>
            </w:r>
            <w:r>
              <w:rPr>
                <w:rFonts w:hint="eastAsia" w:ascii="仿宋" w:hAnsi="仿宋" w:eastAsia="仿宋" w:cs="仿宋"/>
                <w:i w:val="0"/>
                <w:iCs w:val="0"/>
                <w:caps w:val="0"/>
                <w:color w:val="auto"/>
                <w:spacing w:val="0"/>
                <w:kern w:val="0"/>
                <w:sz w:val="24"/>
                <w:szCs w:val="24"/>
                <w:highlight w:val="none"/>
                <w:lang w:val="en-US" w:eastAsia="zh-CN" w:bidi="ar"/>
              </w:rPr>
              <w:t>；</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Fonts w:hint="eastAsia" w:ascii="仿宋" w:hAnsi="仿宋" w:eastAsia="仿宋" w:cs="仿宋"/>
                <w:i w:val="0"/>
                <w:iCs w:val="0"/>
                <w:caps w:val="0"/>
                <w:color w:val="auto"/>
                <w:spacing w:val="0"/>
                <w:kern w:val="0"/>
                <w:sz w:val="24"/>
                <w:szCs w:val="24"/>
                <w:highlight w:val="none"/>
                <w:lang w:val="en-US" w:eastAsia="zh-CN" w:bidi="ar"/>
              </w:rPr>
              <w:t>3、综合偿付能力充足率在</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100%(含)-150%(不含)</w:t>
            </w:r>
            <w:r>
              <w:rPr>
                <w:rFonts w:hint="eastAsia" w:ascii="仿宋" w:hAnsi="仿宋" w:eastAsia="仿宋" w:cs="仿宋"/>
                <w:i w:val="0"/>
                <w:iCs w:val="0"/>
                <w:caps w:val="0"/>
                <w:color w:val="auto"/>
                <w:spacing w:val="0"/>
                <w:kern w:val="0"/>
                <w:sz w:val="24"/>
                <w:szCs w:val="24"/>
                <w:highlight w:val="none"/>
                <w:lang w:val="en-US" w:eastAsia="zh-CN" w:bidi="ar"/>
              </w:rPr>
              <w:t>，得 </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2分</w:t>
            </w:r>
            <w:r>
              <w:rPr>
                <w:rFonts w:hint="eastAsia" w:ascii="仿宋" w:hAnsi="仿宋" w:eastAsia="仿宋" w:cs="仿宋"/>
                <w:i w:val="0"/>
                <w:iCs w:val="0"/>
                <w:caps w:val="0"/>
                <w:color w:val="auto"/>
                <w:spacing w:val="0"/>
                <w:kern w:val="0"/>
                <w:sz w:val="24"/>
                <w:szCs w:val="24"/>
                <w:highlight w:val="none"/>
                <w:lang w:val="en-US" w:eastAsia="zh-CN" w:bidi="ar"/>
              </w:rPr>
              <w:t>；</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Fonts w:hint="eastAsia" w:ascii="仿宋" w:hAnsi="仿宋" w:eastAsia="仿宋" w:cs="仿宋"/>
                <w:i w:val="0"/>
                <w:iCs w:val="0"/>
                <w:caps w:val="0"/>
                <w:color w:val="auto"/>
                <w:spacing w:val="0"/>
                <w:kern w:val="0"/>
                <w:sz w:val="24"/>
                <w:szCs w:val="24"/>
                <w:highlight w:val="none"/>
                <w:lang w:val="en-US" w:eastAsia="zh-CN" w:bidi="ar"/>
              </w:rPr>
              <w:t>4、综合偿付能力充足率在 </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100%(不含)以下</w:t>
            </w:r>
            <w:r>
              <w:rPr>
                <w:rFonts w:hint="eastAsia" w:ascii="仿宋" w:hAnsi="仿宋" w:eastAsia="仿宋" w:cs="仿宋"/>
                <w:i w:val="0"/>
                <w:iCs w:val="0"/>
                <w:caps w:val="0"/>
                <w:color w:val="auto"/>
                <w:spacing w:val="0"/>
                <w:kern w:val="0"/>
                <w:sz w:val="24"/>
                <w:szCs w:val="24"/>
                <w:highlight w:val="none"/>
                <w:lang w:val="en-US" w:eastAsia="zh-CN" w:bidi="ar"/>
              </w:rPr>
              <w:t>，不得分。</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注：</w:t>
            </w:r>
            <w:r>
              <w:rPr>
                <w:rFonts w:hint="eastAsia" w:ascii="仿宋" w:hAnsi="仿宋" w:eastAsia="仿宋" w:cs="仿宋"/>
                <w:color w:val="auto"/>
                <w:kern w:val="0"/>
                <w:sz w:val="24"/>
                <w:szCs w:val="24"/>
                <w:highlight w:val="none"/>
                <w:lang w:bidi="ar"/>
              </w:rPr>
              <w:t>若供应商为分支机构的，可提供总公司</w:t>
            </w:r>
            <w:r>
              <w:rPr>
                <w:rFonts w:hint="eastAsia" w:ascii="仿宋" w:hAnsi="仿宋" w:eastAsia="仿宋" w:cs="仿宋"/>
                <w:b/>
                <w:bCs/>
                <w:color w:val="auto"/>
                <w:kern w:val="0"/>
                <w:sz w:val="24"/>
                <w:szCs w:val="24"/>
                <w:highlight w:val="none"/>
                <w:lang w:bidi="ar"/>
              </w:rPr>
              <w:t>对应季度</w:t>
            </w:r>
            <w:r>
              <w:rPr>
                <w:rFonts w:hint="eastAsia" w:ascii="仿宋" w:hAnsi="仿宋" w:eastAsia="仿宋" w:cs="仿宋"/>
                <w:color w:val="auto"/>
                <w:kern w:val="0"/>
                <w:sz w:val="24"/>
                <w:szCs w:val="24"/>
                <w:highlight w:val="none"/>
                <w:lang w:bidi="ar"/>
              </w:rPr>
              <w:t>的数据。须提供偿付能力报告摘要或信息披露系统截图并加盖公章</w:t>
            </w:r>
            <w:r>
              <w:rPr>
                <w:rFonts w:hint="eastAsia" w:ascii="仿宋" w:hAnsi="仿宋" w:eastAsia="仿宋" w:cs="仿宋"/>
                <w:i w:val="0"/>
                <w:iCs w:val="0"/>
                <w:caps w:val="0"/>
                <w:color w:val="auto"/>
                <w:spacing w:val="0"/>
                <w:kern w:val="0"/>
                <w:sz w:val="24"/>
                <w:szCs w:val="24"/>
                <w:highlight w:val="none"/>
                <w:lang w:val="en-US" w:eastAsia="zh-CN" w:bidi="ar"/>
              </w:rPr>
              <w:t>。</w:t>
            </w:r>
          </w:p>
        </w:tc>
        <w:tc>
          <w:tcPr>
            <w:tcW w:w="279" w:type="pct"/>
            <w:vAlign w:val="center"/>
          </w:tcPr>
          <w:p w14:paraId="73FA5797">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5</w:t>
            </w:r>
          </w:p>
        </w:tc>
        <w:tc>
          <w:tcPr>
            <w:tcW w:w="424" w:type="pct"/>
            <w:vAlign w:val="center"/>
          </w:tcPr>
          <w:p w14:paraId="6C3009FE">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偿付能力证明材料</w:t>
            </w:r>
          </w:p>
        </w:tc>
      </w:tr>
      <w:tr w14:paraId="4CC3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8" w:type="pct"/>
            <w:vMerge w:val="continue"/>
            <w:vAlign w:val="center"/>
          </w:tcPr>
          <w:p w14:paraId="36778DB0">
            <w:pPr>
              <w:jc w:val="cente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p>
        </w:tc>
        <w:tc>
          <w:tcPr>
            <w:tcW w:w="516" w:type="pct"/>
            <w:vAlign w:val="center"/>
          </w:tcPr>
          <w:p w14:paraId="248998D5">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6.类似业绩</w:t>
            </w:r>
          </w:p>
        </w:tc>
        <w:tc>
          <w:tcPr>
            <w:tcW w:w="3351" w:type="pct"/>
            <w:vAlign w:val="center"/>
          </w:tcPr>
          <w:p w14:paraId="1D09C23B">
            <w:pPr>
              <w:keepNext w:val="0"/>
              <w:keepLines w:val="0"/>
              <w:widowControl/>
              <w:suppressLineNumbers w:val="0"/>
              <w:spacing w:before="0" w:beforeAutospacing="0" w:after="0" w:afterAutospacing="0" w:line="288" w:lineRule="atLeast"/>
              <w:ind w:left="0" w:leftChars="0" w:right="0" w:rightChars="0"/>
              <w:jc w:val="left"/>
              <w:textAlignment w:val="top"/>
              <w:rPr>
                <w:rFonts w:hint="eastAsia" w:ascii="仿宋" w:hAnsi="仿宋" w:eastAsia="仿宋" w:cs="仿宋"/>
                <w:i w:val="0"/>
                <w:iCs w:val="0"/>
                <w:caps w:val="0"/>
                <w:color w:val="auto"/>
                <w:spacing w:val="0"/>
                <w:kern w:val="0"/>
                <w:sz w:val="24"/>
                <w:szCs w:val="24"/>
                <w:highlight w:val="no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遴选申请人提供自 </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2024年1月1日</w:t>
            </w:r>
            <w:r>
              <w:rPr>
                <w:rFonts w:hint="eastAsia" w:ascii="仿宋" w:hAnsi="仿宋" w:eastAsia="仿宋" w:cs="仿宋"/>
                <w:i w:val="0"/>
                <w:iCs w:val="0"/>
                <w:caps w:val="0"/>
                <w:color w:val="auto"/>
                <w:spacing w:val="0"/>
                <w:kern w:val="0"/>
                <w:sz w:val="24"/>
                <w:szCs w:val="24"/>
                <w:highlight w:val="none"/>
                <w:lang w:val="en-US" w:eastAsia="zh-CN" w:bidi="ar"/>
              </w:rPr>
              <w:t>（含1日）以来类似保险服务业绩，每提供1个得2.5</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分</w:t>
            </w:r>
            <w:r>
              <w:rPr>
                <w:rFonts w:hint="eastAsia" w:ascii="仿宋" w:hAnsi="仿宋" w:eastAsia="仿宋" w:cs="仿宋"/>
                <w:i w:val="0"/>
                <w:iCs w:val="0"/>
                <w:caps w:val="0"/>
                <w:color w:val="auto"/>
                <w:spacing w:val="0"/>
                <w:kern w:val="0"/>
                <w:sz w:val="24"/>
                <w:szCs w:val="24"/>
                <w:highlight w:val="none"/>
                <w:lang w:val="en-US" w:eastAsia="zh-CN" w:bidi="ar"/>
              </w:rPr>
              <w:t>，本项最多得5</w:t>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分</w:t>
            </w:r>
            <w:r>
              <w:rPr>
                <w:rFonts w:hint="eastAsia" w:ascii="仿宋" w:hAnsi="仿宋" w:eastAsia="仿宋" w:cs="仿宋"/>
                <w:i w:val="0"/>
                <w:iCs w:val="0"/>
                <w:caps w:val="0"/>
                <w:color w:val="auto"/>
                <w:spacing w:val="0"/>
                <w:kern w:val="0"/>
                <w:sz w:val="24"/>
                <w:szCs w:val="24"/>
                <w:highlight w:val="none"/>
                <w:lang w:val="en-US" w:eastAsia="zh-CN" w:bidi="ar"/>
              </w:rPr>
              <w:t>。</w:t>
            </w:r>
            <w:r>
              <w:rPr>
                <w:rFonts w:hint="eastAsia" w:ascii="仿宋" w:hAnsi="仿宋" w:eastAsia="仿宋" w:cs="仿宋"/>
                <w:i w:val="0"/>
                <w:iCs w:val="0"/>
                <w:caps w:val="0"/>
                <w:color w:val="auto"/>
                <w:spacing w:val="0"/>
                <w:kern w:val="0"/>
                <w:sz w:val="24"/>
                <w:szCs w:val="24"/>
                <w:highlight w:val="none"/>
                <w:lang w:val="en-US" w:eastAsia="zh-CN" w:bidi="ar"/>
              </w:rPr>
              <w:br w:type="textWrapping"/>
            </w: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注：</w:t>
            </w:r>
            <w:r>
              <w:rPr>
                <w:rFonts w:hint="eastAsia" w:ascii="仿宋" w:hAnsi="仿宋" w:eastAsia="仿宋" w:cs="仿宋"/>
                <w:i w:val="0"/>
                <w:iCs w:val="0"/>
                <w:caps w:val="0"/>
                <w:color w:val="auto"/>
                <w:spacing w:val="0"/>
                <w:kern w:val="0"/>
                <w:sz w:val="24"/>
                <w:szCs w:val="24"/>
                <w:highlight w:val="none"/>
                <w:lang w:val="en-US" w:eastAsia="zh-CN" w:bidi="ar"/>
              </w:rPr>
              <w:t> 提供中标（成交）通知书或合同（保单）复印件并加盖遴选申请人公章。时间以中标（成交）通知书发出时间或合同（保单）签订时间为准。</w:t>
            </w:r>
          </w:p>
        </w:tc>
        <w:tc>
          <w:tcPr>
            <w:tcW w:w="279" w:type="pct"/>
            <w:vAlign w:val="center"/>
          </w:tcPr>
          <w:p w14:paraId="20099089">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t>5</w:t>
            </w:r>
          </w:p>
        </w:tc>
        <w:tc>
          <w:tcPr>
            <w:tcW w:w="424" w:type="pct"/>
            <w:vAlign w:val="center"/>
          </w:tcPr>
          <w:p w14:paraId="69958948">
            <w:pPr>
              <w:keepNext w:val="0"/>
              <w:keepLines w:val="0"/>
              <w:widowControl/>
              <w:suppressLineNumbers w:val="0"/>
              <w:spacing w:before="0" w:beforeAutospacing="0" w:after="0" w:afterAutospacing="0" w:line="288" w:lineRule="atLeast"/>
              <w:ind w:left="0" w:leftChars="0" w:right="0" w:rightChars="0"/>
              <w:jc w:val="center"/>
              <w:textAlignment w:val="top"/>
              <w:rPr>
                <w:rStyle w:val="18"/>
                <w:rFonts w:hint="eastAsia" w:ascii="仿宋" w:hAnsi="仿宋" w:eastAsia="仿宋" w:cs="仿宋"/>
                <w:i w:val="0"/>
                <w:iCs w:val="0"/>
                <w:caps w:val="0"/>
                <w:color w:val="auto"/>
                <w:spacing w:val="0"/>
                <w:kern w:val="0"/>
                <w:sz w:val="24"/>
                <w:szCs w:val="24"/>
                <w:highlight w:val="none"/>
                <w:vertAlign w:val="baseline"/>
                <w:lang w:val="en-US" w:eastAsia="zh-CN" w:bidi="ar"/>
              </w:rPr>
            </w:pPr>
            <w:r>
              <w:rPr>
                <w:rFonts w:hint="eastAsia" w:ascii="仿宋" w:hAnsi="仿宋" w:eastAsia="仿宋" w:cs="仿宋"/>
                <w:i w:val="0"/>
                <w:iCs w:val="0"/>
                <w:caps w:val="0"/>
                <w:color w:val="auto"/>
                <w:spacing w:val="0"/>
                <w:kern w:val="0"/>
                <w:sz w:val="24"/>
                <w:szCs w:val="24"/>
                <w:highlight w:val="none"/>
                <w:lang w:val="en-US" w:eastAsia="zh-CN" w:bidi="ar"/>
              </w:rPr>
              <w:t>业绩证明材料</w:t>
            </w:r>
          </w:p>
        </w:tc>
      </w:tr>
    </w:tbl>
    <w:p w14:paraId="142E36BB">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5、计算错误的修改</w:t>
      </w:r>
    </w:p>
    <w:p w14:paraId="371FD3F7">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5.1遴选申请文件中如果出现计算上或累加上的算术错误，可按以下原则进行修改：</w:t>
      </w:r>
    </w:p>
    <w:p w14:paraId="7CB67A6B">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（1）用数字表示的金额和用文字表示的金额不一致，应以文字表示的金额为准。</w:t>
      </w:r>
    </w:p>
    <w:p w14:paraId="1F540FC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（2）单价和数量的乘积与总价不一致时，以</w:t>
      </w:r>
      <w:r>
        <w:rPr>
          <w:rFonts w:hint="eastAsia" w:ascii="仿宋" w:hAnsi="仿宋" w:eastAsia="仿宋" w:cs="仿宋"/>
          <w:color w:val="auto"/>
          <w:spacing w:val="0"/>
          <w:sz w:val="24"/>
          <w:szCs w:val="24"/>
          <w:highlight w:val="none"/>
          <w:u w:val="none"/>
        </w:rPr>
        <w:t>单价</w:t>
      </w:r>
      <w:r>
        <w:rPr>
          <w:rFonts w:hint="eastAsia" w:ascii="仿宋" w:hAnsi="仿宋" w:eastAsia="仿宋" w:cs="仿宋"/>
          <w:color w:val="auto"/>
          <w:spacing w:val="0"/>
          <w:sz w:val="24"/>
          <w:szCs w:val="24"/>
          <w:highlight w:val="none"/>
        </w:rPr>
        <w:t>为准，并修正总价。</w:t>
      </w:r>
    </w:p>
    <w:p w14:paraId="2BB16E0F">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（3）单价金额小数点有明显错误的，以总价为准，修正单价。</w:t>
      </w:r>
    </w:p>
    <w:p w14:paraId="504A8A86">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5.2按上述修正错误的方法调整的遴选报价应对遴选申请人具有约束力。如果遴选申请人不接受修正后的价格，其遴选将被拒绝。</w:t>
      </w:r>
    </w:p>
    <w:p w14:paraId="3B303068">
      <w:pPr>
        <w:pStyle w:val="3"/>
        <w:pageBreakBefore w:val="0"/>
        <w:kinsoku/>
        <w:wordWrap/>
        <w:overflowPunct/>
        <w:topLinePunct w:val="0"/>
        <w:bidi w:val="0"/>
        <w:snapToGrid/>
        <w:spacing w:before="0" w:after="0" w:line="0" w:lineRule="atLeast"/>
        <w:jc w:val="both"/>
        <w:rPr>
          <w:rFonts w:hint="eastAsia" w:ascii="仿宋" w:hAnsi="仿宋" w:eastAsia="仿宋" w:cs="仿宋"/>
          <w:bCs w:val="0"/>
          <w:color w:val="auto"/>
          <w:spacing w:val="0"/>
          <w:sz w:val="24"/>
          <w:szCs w:val="24"/>
          <w:highlight w:val="none"/>
        </w:rPr>
      </w:pPr>
      <w:r>
        <w:rPr>
          <w:rFonts w:hint="eastAsia" w:ascii="仿宋" w:hAnsi="仿宋" w:eastAsia="仿宋" w:cs="仿宋"/>
          <w:bCs w:val="0"/>
          <w:color w:val="auto"/>
          <w:spacing w:val="0"/>
          <w:sz w:val="24"/>
          <w:szCs w:val="24"/>
          <w:highlight w:val="none"/>
        </w:rPr>
        <w:t>6、评审专家在遴选评审活动中承担以下义务：</w:t>
      </w:r>
    </w:p>
    <w:p w14:paraId="02F5E3BD">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6.1遵纪守法，客观、公正、廉洁地履行职责。</w:t>
      </w:r>
    </w:p>
    <w:p w14:paraId="48091771">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6.2按照遴选文件的规定要求对遴选申请人的资格条件和遴选申请人提供的产品价格、技术、服务等方面严格进行评判，提供科学合理、公平公正的评审意见，参与起草评审报告，并予签字确认。</w:t>
      </w:r>
    </w:p>
    <w:p w14:paraId="466B24A8">
      <w:pPr>
        <w:pageBreakBefore w:val="0"/>
        <w:kinsoku/>
        <w:wordWrap/>
        <w:overflowPunct/>
        <w:topLinePunct w:val="0"/>
        <w:bidi w:val="0"/>
        <w:snapToGrid/>
        <w:spacing w:line="0" w:lineRule="atLeast"/>
        <w:ind w:firstLine="480" w:firstLineChars="200"/>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t>6.3保守秘密。不得透露遴选文件咨询情况，不得泄漏遴选申请人的遴选申请文件及知悉的商业秘密，不得向遴选申请人透露评审情况。</w:t>
      </w:r>
    </w:p>
    <w:p w14:paraId="42533A83">
      <w:pPr>
        <w:pageBreakBefore w:val="0"/>
        <w:kinsoku/>
        <w:wordWrap/>
        <w:overflowPunct/>
        <w:topLinePunct w:val="0"/>
        <w:bidi w:val="0"/>
        <w:snapToGrid/>
        <w:spacing w:line="0" w:lineRule="atLeast"/>
        <w:rPr>
          <w:rFonts w:hint="eastAsia" w:ascii="仿宋" w:hAnsi="仿宋" w:eastAsia="仿宋" w:cs="仿宋"/>
          <w:color w:val="auto"/>
          <w:spacing w:val="0"/>
          <w:sz w:val="24"/>
          <w:szCs w:val="24"/>
          <w:highlight w:val="none"/>
        </w:rPr>
      </w:pPr>
      <w:r>
        <w:rPr>
          <w:rFonts w:hint="eastAsia" w:ascii="仿宋" w:hAnsi="仿宋" w:eastAsia="仿宋" w:cs="仿宋"/>
          <w:color w:val="auto"/>
          <w:spacing w:val="0"/>
          <w:sz w:val="24"/>
          <w:szCs w:val="24"/>
          <w:highlight w:val="none"/>
        </w:rPr>
        <w:br w:type="page"/>
      </w:r>
    </w:p>
    <w:p w14:paraId="3AC19AD8">
      <w:pPr>
        <w:pStyle w:val="2"/>
        <w:spacing w:before="0" w:after="0" w:line="240" w:lineRule="auto"/>
        <w:jc w:val="center"/>
        <w:rPr>
          <w:rFonts w:hint="eastAsia" w:ascii="仿宋" w:hAnsi="仿宋" w:eastAsia="仿宋" w:cs="仿宋"/>
          <w:color w:val="auto"/>
          <w:sz w:val="24"/>
          <w:szCs w:val="24"/>
          <w:highlight w:val="none"/>
        </w:rPr>
      </w:pPr>
      <w:r>
        <w:rPr>
          <w:rFonts w:hint="eastAsia" w:ascii="仿宋" w:hAnsi="仿宋" w:eastAsia="仿宋" w:cs="仿宋"/>
          <w:b/>
          <w:bCs w:val="0"/>
          <w:color w:val="auto"/>
          <w:highlight w:val="none"/>
        </w:rPr>
        <w:t>第六章 采购合同（范本）</w:t>
      </w:r>
    </w:p>
    <w:p w14:paraId="4E710B72">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合同编号：XXXX。</w:t>
      </w:r>
    </w:p>
    <w:p w14:paraId="250BE36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签订地点：XXXX。</w:t>
      </w:r>
    </w:p>
    <w:p w14:paraId="3838EFA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签订时间：2026年___月___日。</w:t>
      </w:r>
    </w:p>
    <w:p w14:paraId="46A000B9">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甲方：成都市成华区第七人民医院</w:t>
      </w:r>
    </w:p>
    <w:p w14:paraId="4C7F618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乙方：</w:t>
      </w:r>
      <w:r>
        <w:rPr>
          <w:rFonts w:hint="eastAsia" w:ascii="仿宋" w:hAnsi="仿宋" w:eastAsia="仿宋" w:cs="仿宋"/>
          <w:color w:val="auto"/>
          <w:sz w:val="24"/>
          <w:szCs w:val="24"/>
          <w:highlight w:val="none"/>
          <w:lang w:val="en-US" w:eastAsia="zh-CN"/>
        </w:rPr>
        <w:t xml:space="preserve">                        </w:t>
      </w:r>
    </w:p>
    <w:p w14:paraId="4167F17D">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根据《中华人民共和国民法典》及甲方</w:t>
      </w:r>
      <w:r>
        <w:rPr>
          <w:rFonts w:hint="eastAsia" w:ascii="仿宋" w:hAnsi="仿宋" w:eastAsia="仿宋" w:cs="仿宋"/>
          <w:color w:val="auto"/>
          <w:sz w:val="24"/>
          <w:szCs w:val="24"/>
          <w:highlight w:val="none"/>
          <w:lang w:eastAsia="zh-CN"/>
        </w:rPr>
        <w:t>2026-2028年职工补充医疗保险遴选项目（第二次）</w:t>
      </w: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lang w:eastAsia="zh-CN"/>
        </w:rPr>
        <w:t>CH7YY-20260802L1</w:t>
      </w:r>
      <w:r>
        <w:rPr>
          <w:rFonts w:hint="eastAsia" w:ascii="仿宋" w:hAnsi="仿宋" w:eastAsia="仿宋" w:cs="仿宋"/>
          <w:color w:val="auto"/>
          <w:sz w:val="24"/>
          <w:szCs w:val="24"/>
          <w:highlight w:val="none"/>
        </w:rPr>
        <w:t>）的《遴选文件》、乙方的《遴选申请文件》，甲、乙双方同意签订本合同。详细技术说明及其他有关合同项目的特定信息由合同附件予以说明，合同附件及本项目的遴选文件、遴选申请文件、保险条款、保单等均为本合同不可分割的部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与合同正文约定不一致的，以合同正文约定为准</w:t>
      </w:r>
      <w:r>
        <w:rPr>
          <w:rFonts w:hint="eastAsia" w:ascii="仿宋" w:hAnsi="仿宋" w:eastAsia="仿宋" w:cs="仿宋"/>
          <w:color w:val="auto"/>
          <w:sz w:val="24"/>
          <w:szCs w:val="24"/>
          <w:highlight w:val="none"/>
        </w:rPr>
        <w:t>。双方同意共同遵守如下条款：</w:t>
      </w:r>
    </w:p>
    <w:p w14:paraId="3D51E806">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1E12DE7B">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第一条 项目基本情况</w:t>
      </w:r>
    </w:p>
    <w:p w14:paraId="6F68DCE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为进一步完善本院职工福利保障体系，补齐职工重疾、意外、医疗、住院津贴等风险保障短板，规范采购履约流程，本院通过公开遴选方式，确定</w:t>
      </w:r>
      <w:r>
        <w:rPr>
          <w:rFonts w:hint="eastAsia" w:ascii="仿宋" w:hAnsi="仿宋" w:eastAsia="仿宋" w:cs="仿宋"/>
          <w:color w:val="auto"/>
          <w:sz w:val="24"/>
          <w:szCs w:val="24"/>
          <w:highlight w:val="none"/>
          <w:lang w:val="en-US" w:eastAsia="zh-CN"/>
        </w:rPr>
        <w:t>XXXX</w:t>
      </w:r>
      <w:r>
        <w:rPr>
          <w:rFonts w:hint="eastAsia" w:ascii="仿宋" w:hAnsi="仿宋" w:eastAsia="仿宋" w:cs="仿宋"/>
          <w:color w:val="auto"/>
          <w:sz w:val="24"/>
          <w:szCs w:val="24"/>
          <w:highlight w:val="none"/>
        </w:rPr>
        <w:t>为本项目服务方。双方本着平等互利原则，就在职职工及单独个人的补充医疗保险服务事宜达成一致，特签订本合同，以明确保障范围、服务标准及双方权利义务。</w:t>
      </w:r>
    </w:p>
    <w:p w14:paraId="5A1B3FBA">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21E2D474">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第二条 合同期限</w:t>
      </w:r>
    </w:p>
    <w:p w14:paraId="19BC9EC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保险期间为叁年，自保单载明的起保日起至保单载明的止保日止。保险期限实行“一年一签”制，保险期限开始前，乙方应按甲方要求出具首年度正式保单，后续每年度保险期间届满前，乙方应按甲方要求出具下一年度正式保单。</w:t>
      </w:r>
    </w:p>
    <w:p w14:paraId="33C7F016">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65B94406">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第三条 保险服务要求与交付</w:t>
      </w:r>
    </w:p>
    <w:p w14:paraId="502D45A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1、出单与资料交付</w:t>
      </w:r>
    </w:p>
    <w:p w14:paraId="4D9334FA">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 乙方须在合同签订生效后，按照甲方要求及时办理投保手续，并在收到甲方投保名单及资料后5个工作日内出具正式保险单（及电子保单），并向甲方交付保单正本（或电子保单）、保险条款、发票等完整资料。</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接到理赔申请及完整的索赔资料后，</w:t>
      </w:r>
      <w:r>
        <w:rPr>
          <w:rFonts w:hint="eastAsia" w:ascii="仿宋" w:hAnsi="仿宋" w:eastAsia="仿宋" w:cs="仿宋"/>
          <w:color w:val="auto"/>
          <w:sz w:val="24"/>
          <w:szCs w:val="24"/>
          <w:highlight w:val="none"/>
          <w:lang w:val="en-US" w:eastAsia="zh-CN"/>
        </w:rPr>
        <w:t>应在7个工作日内完成保险责任核定，</w:t>
      </w:r>
      <w:r>
        <w:rPr>
          <w:rFonts w:hint="eastAsia" w:ascii="仿宋" w:hAnsi="仿宋" w:eastAsia="仿宋" w:cs="仿宋"/>
          <w:color w:val="auto"/>
          <w:sz w:val="24"/>
          <w:szCs w:val="24"/>
          <w:highlight w:val="none"/>
        </w:rPr>
        <w:t>对确属保险责任范围内的赔偿款</w:t>
      </w:r>
      <w:r>
        <w:rPr>
          <w:rFonts w:hint="eastAsia" w:ascii="仿宋" w:hAnsi="仿宋" w:eastAsia="仿宋" w:cs="仿宋"/>
          <w:color w:val="auto"/>
          <w:sz w:val="24"/>
          <w:szCs w:val="24"/>
          <w:highlight w:val="none"/>
          <w:lang w:val="en-US" w:eastAsia="zh-CN"/>
        </w:rPr>
        <w:t>应</w:t>
      </w:r>
      <w:r>
        <w:rPr>
          <w:rFonts w:hint="eastAsia" w:ascii="仿宋" w:hAnsi="仿宋" w:eastAsia="仿宋" w:cs="仿宋"/>
          <w:color w:val="auto"/>
          <w:sz w:val="24"/>
          <w:szCs w:val="24"/>
          <w:highlight w:val="none"/>
        </w:rPr>
        <w:t>在15个工作日内予以赔付。</w:t>
      </w:r>
    </w:p>
    <w:p w14:paraId="7FA703EA">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 乙方应建立本项目档案，对保单、批单、投保资料、理赔资料等进行妥善保管，并按甲方要求提供相关报表与资料。</w:t>
      </w:r>
    </w:p>
    <w:p w14:paraId="1F67019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2、服务人群</w:t>
      </w:r>
    </w:p>
    <w:p w14:paraId="11898DB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成都市成华区第七人民医院全体在职职工及单独个人（含各院区与执业场所）。</w:t>
      </w:r>
    </w:p>
    <w:p w14:paraId="09345D4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3、职工补充医疗保险赔偿限额标准</w:t>
      </w:r>
      <w:r>
        <w:rPr>
          <w:rFonts w:hint="eastAsia" w:ascii="仿宋" w:hAnsi="仿宋" w:eastAsia="仿宋" w:cs="仿宋"/>
          <w:b/>
          <w:bCs/>
          <w:color w:val="auto"/>
          <w:sz w:val="24"/>
          <w:szCs w:val="24"/>
          <w:highlight w:val="none"/>
          <w:u w:val="single"/>
        </w:rPr>
        <w:t>（</w:t>
      </w:r>
      <w:r>
        <w:rPr>
          <w:rFonts w:hint="eastAsia" w:ascii="仿宋" w:hAnsi="仿宋" w:eastAsia="仿宋" w:cs="仿宋"/>
          <w:b/>
          <w:bCs/>
          <w:color w:val="auto"/>
          <w:sz w:val="24"/>
          <w:szCs w:val="24"/>
          <w:highlight w:val="none"/>
          <w:u w:val="single"/>
          <w:lang w:val="en-US" w:eastAsia="zh-CN"/>
        </w:rPr>
        <w:t>注意：以</w:t>
      </w:r>
      <w:r>
        <w:rPr>
          <w:rFonts w:hint="eastAsia" w:ascii="仿宋" w:hAnsi="仿宋" w:eastAsia="仿宋" w:cs="仿宋"/>
          <w:b/>
          <w:bCs/>
          <w:color w:val="auto"/>
          <w:sz w:val="24"/>
          <w:szCs w:val="24"/>
          <w:highlight w:val="none"/>
          <w:u w:val="single"/>
        </w:rPr>
        <w:t>第四章</w:t>
      </w:r>
      <w:r>
        <w:rPr>
          <w:rFonts w:hint="eastAsia" w:ascii="仿宋" w:hAnsi="仿宋" w:eastAsia="仿宋" w:cs="仿宋"/>
          <w:b/>
          <w:bCs/>
          <w:color w:val="auto"/>
          <w:sz w:val="24"/>
          <w:szCs w:val="24"/>
          <w:highlight w:val="none"/>
          <w:u w:val="single"/>
          <w:lang w:val="en-US" w:eastAsia="zh-CN"/>
        </w:rPr>
        <w:t>和乙方响应</w:t>
      </w:r>
      <w:r>
        <w:rPr>
          <w:rFonts w:hint="eastAsia" w:ascii="仿宋" w:hAnsi="仿宋" w:eastAsia="仿宋" w:cs="仿宋"/>
          <w:b/>
          <w:bCs/>
          <w:color w:val="auto"/>
          <w:sz w:val="24"/>
          <w:szCs w:val="24"/>
          <w:highlight w:val="none"/>
          <w:u w:val="single"/>
        </w:rPr>
        <w:t>承诺的较高标准为准）</w:t>
      </w:r>
    </w:p>
    <w:p w14:paraId="2FD2B736">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（一）在职职工保障方案（限价270元/人/年，共220人）</w:t>
      </w:r>
    </w:p>
    <w:p w14:paraId="233F49AA">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1、重大疾病保障：保障病种范围不少于10种，最低保额为1.8万元。</w:t>
      </w:r>
    </w:p>
    <w:p w14:paraId="40C5E7F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2、意外保障：</w:t>
      </w:r>
    </w:p>
    <w:p w14:paraId="7416993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（1）意外身故/伤残保障：最低保额为8万元。</w:t>
      </w:r>
    </w:p>
    <w:p w14:paraId="60533829">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（2）意外住院医疗保障：最低保额为1万元。</w:t>
      </w:r>
    </w:p>
    <w:p w14:paraId="4F395AE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3、住院津贴：</w:t>
      </w:r>
    </w:p>
    <w:p w14:paraId="01F08EF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（1）疾病住院补贴：最低保障标准为50元/天。</w:t>
      </w:r>
    </w:p>
    <w:p w14:paraId="64B7A1A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（2）意外住院补贴：最低保障标准为50元/天。</w:t>
      </w:r>
    </w:p>
    <w:p w14:paraId="6C4CEAD6">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p>
    <w:p w14:paraId="65C2070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（二）单独个人保障方案（限价120元/人/年，共10人）</w:t>
      </w:r>
    </w:p>
    <w:p w14:paraId="464FF2DD">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1、意外保障：</w:t>
      </w:r>
    </w:p>
    <w:p w14:paraId="7CDE92B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（1）意外身故/伤残保障：最低保额为10万元。</w:t>
      </w:r>
    </w:p>
    <w:p w14:paraId="1F3C977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（2）意外住院医疗保障：最低保额为1万元。</w:t>
      </w:r>
    </w:p>
    <w:p w14:paraId="6FDE0D7F">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2、住院津贴：</w:t>
      </w:r>
    </w:p>
    <w:p w14:paraId="0A3FA00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（1）疾病住院补贴：最低保障标准为20元/天。</w:t>
      </w:r>
    </w:p>
    <w:p w14:paraId="35FCAB6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（2）意外住院补贴：最低保障标准为50元/天。</w:t>
      </w:r>
    </w:p>
    <w:p w14:paraId="30F450A6">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4、其他服务要求</w:t>
      </w:r>
    </w:p>
    <w:p w14:paraId="008F325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4.1</w:t>
      </w:r>
      <w:r>
        <w:rPr>
          <w:rFonts w:hint="eastAsia" w:ascii="仿宋" w:hAnsi="仿宋" w:eastAsia="仿宋" w:cs="仿宋"/>
          <w:color w:val="auto"/>
          <w:sz w:val="24"/>
          <w:szCs w:val="24"/>
          <w:highlight w:val="none"/>
        </w:rPr>
        <w:t>服务网点要求</w:t>
      </w:r>
    </w:p>
    <w:p w14:paraId="5EE1CFF9">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承诺在</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所在地（或周边地区）设有服务网点或分支机构，或指定专门的服务团队负责本项目，以确保满足现场响应时效要求。</w:t>
      </w:r>
    </w:p>
    <w:p w14:paraId="5198ED6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4.2</w:t>
      </w:r>
      <w:r>
        <w:rPr>
          <w:rFonts w:hint="eastAsia" w:ascii="仿宋" w:hAnsi="仿宋" w:eastAsia="仿宋" w:cs="仿宋"/>
          <w:color w:val="auto"/>
          <w:sz w:val="24"/>
          <w:szCs w:val="24"/>
          <w:highlight w:val="none"/>
        </w:rPr>
        <w:t>现场响应机制</w:t>
      </w:r>
    </w:p>
    <w:p w14:paraId="743C619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保险事故发生后，</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应立即通知</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必须在接到通知后60分钟内指派专业人员赶到纠纷现场，双方密切配合，按照现行法律法规和程序规范处置事故。</w:t>
      </w:r>
    </w:p>
    <w:p w14:paraId="6B80F99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4.3</w:t>
      </w:r>
      <w:r>
        <w:rPr>
          <w:rFonts w:hint="eastAsia" w:ascii="仿宋" w:hAnsi="仿宋" w:eastAsia="仿宋" w:cs="仿宋"/>
          <w:color w:val="auto"/>
          <w:sz w:val="24"/>
          <w:szCs w:val="24"/>
          <w:highlight w:val="none"/>
        </w:rPr>
        <w:t>资料收集服务</w:t>
      </w:r>
    </w:p>
    <w:p w14:paraId="269CEA5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应主动配合</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收集理赔资料，并提供上门收取服务，减轻</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事务性负担。</w:t>
      </w:r>
    </w:p>
    <w:p w14:paraId="7FCC4CB1">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4.4</w:t>
      </w:r>
      <w:r>
        <w:rPr>
          <w:rFonts w:hint="eastAsia" w:ascii="仿宋" w:hAnsi="仿宋" w:eastAsia="仿宋" w:cs="仿宋"/>
          <w:color w:val="auto"/>
          <w:sz w:val="24"/>
          <w:szCs w:val="24"/>
          <w:highlight w:val="none"/>
        </w:rPr>
        <w:t>服务团队及服务标准</w:t>
      </w:r>
    </w:p>
    <w:p w14:paraId="67F0FF2A">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4.4.1</w:t>
      </w:r>
      <w:r>
        <w:rPr>
          <w:rFonts w:hint="eastAsia" w:ascii="仿宋" w:hAnsi="仿宋" w:eastAsia="仿宋" w:cs="仿宋"/>
          <w:color w:val="auto"/>
          <w:sz w:val="24"/>
          <w:szCs w:val="24"/>
          <w:highlight w:val="none"/>
        </w:rPr>
        <w:t>项目专员配置</w:t>
      </w:r>
    </w:p>
    <w:p w14:paraId="664C3E9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须向</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配备专属项目负责人1名。</w:t>
      </w:r>
    </w:p>
    <w:p w14:paraId="3D8CA3F4">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工作职责：</w:t>
      </w:r>
    </w:p>
    <w:p w14:paraId="5CAD8D6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（1）全程参与</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医疗纠纷及意外事故的接待与处置；</w:t>
      </w:r>
    </w:p>
    <w:p w14:paraId="65DB15E6">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（2）协助</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做好医疗风险管控及安全生产管理工作；</w:t>
      </w:r>
    </w:p>
    <w:p w14:paraId="293C35B1">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（3）全权负责职工补充医疗保险的理赔跟进工作；</w:t>
      </w:r>
    </w:p>
    <w:p w14:paraId="61F2FF3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（4）做好与</w:t>
      </w:r>
      <w:r>
        <w:rPr>
          <w:rFonts w:hint="eastAsia" w:ascii="仿宋" w:hAnsi="仿宋" w:eastAsia="仿宋" w:cs="仿宋"/>
          <w:color w:val="auto"/>
          <w:sz w:val="24"/>
          <w:szCs w:val="24"/>
          <w:highlight w:val="none"/>
          <w:lang w:val="en-US" w:eastAsia="zh-CN"/>
        </w:rPr>
        <w:t>甲方</w:t>
      </w:r>
      <w:r>
        <w:rPr>
          <w:rFonts w:hint="eastAsia" w:ascii="仿宋" w:hAnsi="仿宋" w:eastAsia="仿宋" w:cs="仿宋"/>
          <w:color w:val="auto"/>
          <w:sz w:val="24"/>
          <w:szCs w:val="24"/>
          <w:highlight w:val="none"/>
        </w:rPr>
        <w:t>及其相关部门的沟通协调、政策咨询、费用支付及投诉处理等服务。</w:t>
      </w:r>
    </w:p>
    <w:p w14:paraId="047BAFFA">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4.4.2</w:t>
      </w:r>
      <w:r>
        <w:rPr>
          <w:rFonts w:hint="eastAsia" w:ascii="仿宋" w:hAnsi="仿宋" w:eastAsia="仿宋" w:cs="仿宋"/>
          <w:color w:val="auto"/>
          <w:sz w:val="24"/>
          <w:szCs w:val="24"/>
          <w:highlight w:val="none"/>
        </w:rPr>
        <w:t>专业团队支持</w:t>
      </w:r>
    </w:p>
    <w:p w14:paraId="78320016">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应成立专门的服务团队，配备具有医学、法律、财会等专业背景的专职服务人员，确保能够提供专业的风险评估、法律援助及理赔核算服务。</w:t>
      </w:r>
    </w:p>
    <w:p w14:paraId="037C7C6A">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4.4.3</w:t>
      </w:r>
      <w:r>
        <w:rPr>
          <w:rFonts w:hint="eastAsia" w:ascii="仿宋" w:hAnsi="仿宋" w:eastAsia="仿宋" w:cs="仿宋"/>
          <w:color w:val="auto"/>
          <w:sz w:val="24"/>
          <w:szCs w:val="24"/>
          <w:highlight w:val="none"/>
        </w:rPr>
        <w:t>咨询与受理服务</w:t>
      </w:r>
    </w:p>
    <w:p w14:paraId="224D862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应设立24小时客户服务及投诉举报热线，由专人负责接听、记录及受理，确保通讯畅通。</w:t>
      </w:r>
    </w:p>
    <w:p w14:paraId="5498A89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p>
    <w:p w14:paraId="6D3EC1EE">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第四条 费用及支付方式</w:t>
      </w:r>
    </w:p>
    <w:p w14:paraId="0F5F0C17">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 本合同采用全包价报价方式，包含保险费、税费及服务费等所有费用，甲方不再支付其他任何费用。合同金额以中标价为准，具体分项报价以乙方响应文件为准。</w:t>
      </w:r>
    </w:p>
    <w:p w14:paraId="26340231">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4.2 付款方式：</w:t>
      </w:r>
      <w:r>
        <w:rPr>
          <w:rFonts w:hint="eastAsia" w:ascii="仿宋" w:hAnsi="仿宋" w:eastAsia="仿宋" w:cs="仿宋"/>
          <w:color w:val="auto"/>
          <w:sz w:val="24"/>
          <w:szCs w:val="24"/>
          <w:highlight w:val="none"/>
          <w:lang w:val="en-US" w:eastAsia="zh-CN"/>
        </w:rPr>
        <w:t>按年</w:t>
      </w:r>
      <w:r>
        <w:rPr>
          <w:rFonts w:hint="eastAsia" w:ascii="仿宋" w:hAnsi="仿宋" w:eastAsia="仿宋" w:cs="仿宋"/>
          <w:color w:val="auto"/>
          <w:sz w:val="24"/>
          <w:szCs w:val="24"/>
          <w:highlight w:val="none"/>
        </w:rPr>
        <w:t>一次付清</w:t>
      </w:r>
      <w:r>
        <w:rPr>
          <w:rFonts w:hint="eastAsia" w:ascii="仿宋" w:hAnsi="仿宋" w:eastAsia="仿宋" w:cs="仿宋"/>
          <w:color w:val="auto"/>
          <w:sz w:val="24"/>
          <w:szCs w:val="24"/>
          <w:highlight w:val="none"/>
          <w:lang w:eastAsia="zh-CN"/>
        </w:rPr>
        <w:t>（本合同期限为三年，合同一年一签，费用按年支付）。</w:t>
      </w:r>
    </w:p>
    <w:p w14:paraId="42FF2CA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 付款进度安排：</w:t>
      </w:r>
    </w:p>
    <w:p w14:paraId="239808FD">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合同签订生效，</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交付保单后，自满足付款条件之日起30个工作日内，支付</w:t>
      </w:r>
      <w:r>
        <w:rPr>
          <w:rFonts w:hint="eastAsia" w:ascii="仿宋" w:hAnsi="仿宋" w:eastAsia="仿宋" w:cs="仿宋"/>
          <w:color w:val="auto"/>
          <w:sz w:val="24"/>
          <w:szCs w:val="24"/>
          <w:highlight w:val="none"/>
          <w:lang w:val="en-US" w:eastAsia="zh-CN"/>
        </w:rPr>
        <w:t>当年度保费总额</w:t>
      </w:r>
      <w:r>
        <w:rPr>
          <w:rFonts w:hint="eastAsia" w:ascii="仿宋" w:hAnsi="仿宋" w:eastAsia="仿宋" w:cs="仿宋"/>
          <w:color w:val="auto"/>
          <w:sz w:val="24"/>
          <w:szCs w:val="24"/>
          <w:highlight w:val="none"/>
        </w:rPr>
        <w:t>的100%。</w:t>
      </w:r>
    </w:p>
    <w:p w14:paraId="63F720C2">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461B7E80">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第五条 数据安全与保密</w:t>
      </w:r>
    </w:p>
    <w:p w14:paraId="10D77B2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5.1</w:t>
      </w:r>
      <w:r>
        <w:rPr>
          <w:rFonts w:hint="eastAsia" w:ascii="仿宋" w:hAnsi="仿宋" w:eastAsia="仿宋" w:cs="仿宋"/>
          <w:b w:val="0"/>
          <w:bCs w:val="0"/>
          <w:color w:val="auto"/>
          <w:sz w:val="24"/>
          <w:szCs w:val="24"/>
          <w:highlight w:val="none"/>
        </w:rPr>
        <w:t>数据归属与使用限制：</w:t>
      </w:r>
    </w:p>
    <w:p w14:paraId="68CD15A7">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rPr>
        <w:t>甲方提供给乙方的在职职工名单、人员变动信息及相关业务数据，其所有权及相关权益归甲方所有。乙方仅为履行本合同（办理投保、理赔审核及必要的事故处理）之目的，在最小必要范围内使用上述数据，不得用于其他任何商业用途。</w:t>
      </w:r>
    </w:p>
    <w:p w14:paraId="6E0F3BB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5.2</w:t>
      </w:r>
      <w:r>
        <w:rPr>
          <w:rFonts w:hint="eastAsia" w:ascii="仿宋" w:hAnsi="仿宋" w:eastAsia="仿宋" w:cs="仿宋"/>
          <w:b w:val="0"/>
          <w:bCs w:val="0"/>
          <w:color w:val="auto"/>
          <w:sz w:val="24"/>
          <w:szCs w:val="24"/>
          <w:highlight w:val="none"/>
        </w:rPr>
        <w:t>保密义务与法律责任：</w:t>
      </w:r>
    </w:p>
    <w:p w14:paraId="0E2BCF8F">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乙方应严格遵守《中华人民共和国个人信息保护法》《数据安全法》等法律法规，对在履约过程中知悉的甲方商业秘密、职工个人信息（包括但不限于姓名、身份证号、联系方式、健康状况、诊疗记录等）承担严格保密义务。未经甲方书面同意，乙方不得向任何第三方泄露、出售或非法使用上述信息。</w:t>
      </w:r>
    </w:p>
    <w:p w14:paraId="6EC6F8A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5.3</w:t>
      </w:r>
      <w:r>
        <w:rPr>
          <w:rFonts w:hint="eastAsia" w:ascii="仿宋" w:hAnsi="仿宋" w:eastAsia="仿宋" w:cs="仿宋"/>
          <w:b w:val="0"/>
          <w:bCs w:val="0"/>
          <w:color w:val="auto"/>
          <w:sz w:val="24"/>
          <w:szCs w:val="24"/>
          <w:highlight w:val="none"/>
        </w:rPr>
        <w:t>违约责任：</w:t>
      </w:r>
    </w:p>
    <w:p w14:paraId="5E82EF1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b w:val="0"/>
          <w:bCs w:val="0"/>
          <w:color w:val="auto"/>
          <w:sz w:val="24"/>
          <w:szCs w:val="24"/>
          <w:highlight w:val="none"/>
        </w:rPr>
        <w:t>若乙方违反上述保密义务，或因乙方管理不善、系统漏洞等原因导致信息泄露，给甲方、员工或第三方造成损失的，乙方应承担全部赔偿责任（包括但不限于直接经济损失、律师费、维权费用及行政罚款等）。</w:t>
      </w:r>
    </w:p>
    <w:p w14:paraId="3E9FC0DA">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4272DF2B">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第六条 权利与服务保证</w:t>
      </w:r>
    </w:p>
    <w:p w14:paraId="34D7C427">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乙方保证其具备履行本合同所需的法定资质与偿付能力，其向甲方提供的保险服务及保单权利是合法、有效的，不存在任何法律上的障碍、抵押、查封或其他权利瑕疵。如因乙方资质问题、偿付能力不足或权利瑕疵导致保险无效、无法理赔或本合同无法履行，视为乙方违约，乙方应负担由此而产生的一切损失。</w:t>
      </w:r>
    </w:p>
    <w:p w14:paraId="579EDBF4">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209AFC1F">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第七条 甲方的权利和义务</w:t>
      </w:r>
    </w:p>
    <w:p w14:paraId="4E6E105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7.1</w:t>
      </w:r>
      <w:r>
        <w:rPr>
          <w:rFonts w:hint="eastAsia" w:ascii="仿宋" w:hAnsi="仿宋" w:eastAsia="仿宋" w:cs="仿宋"/>
          <w:b w:val="0"/>
          <w:bCs w:val="0"/>
          <w:color w:val="auto"/>
          <w:sz w:val="24"/>
          <w:szCs w:val="24"/>
          <w:highlight w:val="none"/>
        </w:rPr>
        <w:t>甲方应及时向乙方提供开展投保、理赔所需的必要资料与真实信息，并配合乙方进行现场查勘、事故调查及风险防控服务。</w:t>
      </w:r>
    </w:p>
    <w:p w14:paraId="15C4F24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7.2</w:t>
      </w:r>
      <w:r>
        <w:rPr>
          <w:rFonts w:hint="eastAsia" w:ascii="仿宋" w:hAnsi="仿宋" w:eastAsia="仿宋" w:cs="仿宋"/>
          <w:b w:val="0"/>
          <w:bCs w:val="0"/>
          <w:color w:val="auto"/>
          <w:sz w:val="24"/>
          <w:szCs w:val="24"/>
          <w:highlight w:val="none"/>
        </w:rPr>
        <w:t>甲方应依约足额及时支付合同相关款项。</w:t>
      </w:r>
    </w:p>
    <w:p w14:paraId="1EA70AB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b w:val="0"/>
          <w:bCs w:val="0"/>
          <w:color w:val="auto"/>
          <w:sz w:val="24"/>
          <w:szCs w:val="24"/>
          <w:highlight w:val="none"/>
          <w:lang w:val="en-US" w:eastAsia="zh-CN"/>
        </w:rPr>
        <w:t>7.3</w:t>
      </w:r>
      <w:r>
        <w:rPr>
          <w:rFonts w:hint="eastAsia" w:ascii="仿宋" w:hAnsi="仿宋" w:eastAsia="仿宋" w:cs="仿宋"/>
          <w:b w:val="0"/>
          <w:bCs w:val="0"/>
          <w:color w:val="auto"/>
          <w:sz w:val="24"/>
          <w:szCs w:val="24"/>
          <w:highlight w:val="none"/>
        </w:rPr>
        <w:t>甲方有权对乙方的承保、理赔及服务行为进行监督和检查，对认为服务不合理的部分，有权要求乙方限期整改。</w:t>
      </w:r>
    </w:p>
    <w:p w14:paraId="32484ED5">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644A1E1F">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第八条 乙方的权利和义务</w:t>
      </w:r>
    </w:p>
    <w:p w14:paraId="11A2143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8.1</w:t>
      </w:r>
      <w:r>
        <w:rPr>
          <w:rFonts w:hint="eastAsia" w:ascii="仿宋" w:hAnsi="仿宋" w:eastAsia="仿宋" w:cs="仿宋"/>
          <w:b w:val="0"/>
          <w:bCs w:val="0"/>
          <w:color w:val="auto"/>
          <w:sz w:val="24"/>
          <w:szCs w:val="24"/>
          <w:highlight w:val="none"/>
        </w:rPr>
        <w:t>乙方有权在承保前对甲方的场所、人员及风险情况进行勘查，并对不符合安全运行要求或存在隐患的场地向甲方提出整改建议。</w:t>
      </w:r>
    </w:p>
    <w:p w14:paraId="5BEC9A32">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8.2</w:t>
      </w:r>
      <w:r>
        <w:rPr>
          <w:rFonts w:hint="eastAsia" w:ascii="仿宋" w:hAnsi="仿宋" w:eastAsia="仿宋" w:cs="仿宋"/>
          <w:b w:val="0"/>
          <w:bCs w:val="0"/>
          <w:color w:val="auto"/>
          <w:sz w:val="24"/>
          <w:szCs w:val="24"/>
          <w:highlight w:val="none"/>
        </w:rPr>
        <w:t>乙方应按甲方要求的时间及时办理投保、出单、批改等手续。</w:t>
      </w:r>
    </w:p>
    <w:p w14:paraId="7056912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8.3</w:t>
      </w:r>
      <w:r>
        <w:rPr>
          <w:rFonts w:hint="eastAsia" w:ascii="仿宋" w:hAnsi="仿宋" w:eastAsia="仿宋" w:cs="仿宋"/>
          <w:b w:val="0"/>
          <w:bCs w:val="0"/>
          <w:color w:val="auto"/>
          <w:sz w:val="24"/>
          <w:szCs w:val="24"/>
          <w:highlight w:val="none"/>
        </w:rPr>
        <w:t>乙方应按甲方要求及遴选</w:t>
      </w:r>
      <w:r>
        <w:rPr>
          <w:rFonts w:hint="eastAsia" w:ascii="仿宋" w:hAnsi="仿宋" w:eastAsia="仿宋" w:cs="仿宋"/>
          <w:b w:val="0"/>
          <w:bCs w:val="0"/>
          <w:color w:val="auto"/>
          <w:sz w:val="24"/>
          <w:szCs w:val="24"/>
          <w:highlight w:val="none"/>
          <w:lang w:val="en-US" w:eastAsia="zh-CN"/>
        </w:rPr>
        <w:t>申请</w:t>
      </w:r>
      <w:r>
        <w:rPr>
          <w:rFonts w:hint="eastAsia" w:ascii="仿宋" w:hAnsi="仿宋" w:eastAsia="仿宋" w:cs="仿宋"/>
          <w:b w:val="0"/>
          <w:bCs w:val="0"/>
          <w:color w:val="auto"/>
          <w:sz w:val="24"/>
          <w:szCs w:val="24"/>
          <w:highlight w:val="none"/>
        </w:rPr>
        <w:t>文件承诺，按时、保质完成承保与理赔服务，并确保服务团队具备专业能力。甲方有权对乙方服务质量提出整改、完善意见，乙方应按要求修改、调整直至符合约定。</w:t>
      </w:r>
    </w:p>
    <w:p w14:paraId="181F819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b w:val="0"/>
          <w:bCs w:val="0"/>
          <w:color w:val="auto"/>
          <w:sz w:val="24"/>
          <w:szCs w:val="24"/>
          <w:highlight w:val="none"/>
          <w:lang w:val="en-US" w:eastAsia="zh-CN"/>
        </w:rPr>
        <w:t>8.4</w:t>
      </w:r>
      <w:r>
        <w:rPr>
          <w:rFonts w:hint="eastAsia" w:ascii="仿宋" w:hAnsi="仿宋" w:eastAsia="仿宋" w:cs="仿宋"/>
          <w:b w:val="0"/>
          <w:bCs w:val="0"/>
          <w:color w:val="auto"/>
          <w:sz w:val="24"/>
          <w:szCs w:val="24"/>
          <w:highlight w:val="none"/>
        </w:rPr>
        <w:t>乙方保证所提供服务及相关资料符合国家及行业相关标准，不违反任何适用的法律、法规，且不损害任何第三方合法权益。如因乙方在履行服务过程中（如现场查勘、纠纷处置、数据管理等）存在过错或过失，导致侵犯第三方权益或产生事故的，由乙方自行承担全部法律责任。</w:t>
      </w:r>
    </w:p>
    <w:p w14:paraId="08BB24FF">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6A75FCD1">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第九条 违约责任</w:t>
      </w:r>
    </w:p>
    <w:p w14:paraId="30ACC49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9.1</w:t>
      </w:r>
      <w:r>
        <w:rPr>
          <w:rFonts w:hint="eastAsia" w:ascii="仿宋" w:hAnsi="仿宋" w:eastAsia="仿宋" w:cs="仿宋"/>
          <w:color w:val="auto"/>
          <w:sz w:val="24"/>
          <w:szCs w:val="24"/>
          <w:highlight w:val="none"/>
        </w:rPr>
        <w:t>双方必须遵守本合同并执行合同中的各项约定，保证合同的合法正常履行。</w:t>
      </w:r>
    </w:p>
    <w:p w14:paraId="1714D819">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14:paraId="37DFB69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9.2</w:t>
      </w:r>
      <w:r>
        <w:rPr>
          <w:rFonts w:hint="eastAsia" w:ascii="仿宋" w:hAnsi="仿宋" w:eastAsia="仿宋" w:cs="仿宋"/>
          <w:color w:val="auto"/>
          <w:sz w:val="24"/>
          <w:szCs w:val="24"/>
          <w:highlight w:val="none"/>
        </w:rPr>
        <w:t>服务及时性违约：乙方逾期出具保单或逾期完成保险责任核定、逾期履行赔偿义务的，每逾期一日，须向甲方支付1000元的违约金；合同期限内，乙方</w:t>
      </w:r>
      <w:r>
        <w:rPr>
          <w:rFonts w:hint="eastAsia" w:ascii="仿宋" w:hAnsi="仿宋" w:eastAsia="仿宋" w:cs="仿宋"/>
          <w:color w:val="auto"/>
          <w:sz w:val="24"/>
          <w:szCs w:val="24"/>
          <w:highlight w:val="none"/>
          <w:lang w:val="en-US" w:eastAsia="zh-CN"/>
        </w:rPr>
        <w:t>累计</w:t>
      </w:r>
      <w:r>
        <w:rPr>
          <w:rFonts w:hint="eastAsia" w:ascii="仿宋" w:hAnsi="仿宋" w:eastAsia="仿宋" w:cs="仿宋"/>
          <w:color w:val="auto"/>
          <w:sz w:val="24"/>
          <w:szCs w:val="24"/>
          <w:highlight w:val="none"/>
        </w:rPr>
        <w:t>出现3次及以上上述</w:t>
      </w:r>
      <w:r>
        <w:rPr>
          <w:rFonts w:hint="eastAsia" w:ascii="仿宋" w:hAnsi="仿宋" w:eastAsia="仿宋" w:cs="仿宋"/>
          <w:color w:val="auto"/>
          <w:sz w:val="24"/>
          <w:szCs w:val="24"/>
          <w:highlight w:val="none"/>
          <w:lang w:val="en-US" w:eastAsia="zh-CN"/>
        </w:rPr>
        <w:t>逾期</w:t>
      </w:r>
      <w:r>
        <w:rPr>
          <w:rFonts w:hint="eastAsia" w:ascii="仿宋" w:hAnsi="仿宋" w:eastAsia="仿宋" w:cs="仿宋"/>
          <w:color w:val="auto"/>
          <w:sz w:val="24"/>
          <w:szCs w:val="24"/>
          <w:highlight w:val="none"/>
        </w:rPr>
        <w:t>行为或单次逾期超过20日的，甲方有权解除合同并要求</w:t>
      </w:r>
      <w:r>
        <w:rPr>
          <w:rFonts w:hint="eastAsia" w:ascii="仿宋" w:hAnsi="仿宋" w:eastAsia="仿宋" w:cs="仿宋"/>
          <w:color w:val="auto"/>
          <w:sz w:val="24"/>
          <w:szCs w:val="24"/>
          <w:highlight w:val="none"/>
          <w:lang w:val="en-US" w:eastAsia="zh-CN"/>
        </w:rPr>
        <w:t>乙方</w:t>
      </w:r>
      <w:r>
        <w:rPr>
          <w:rFonts w:hint="eastAsia" w:ascii="仿宋" w:hAnsi="仿宋" w:eastAsia="仿宋" w:cs="仿宋"/>
          <w:color w:val="auto"/>
          <w:sz w:val="24"/>
          <w:szCs w:val="24"/>
          <w:highlight w:val="none"/>
        </w:rPr>
        <w:t>退还全部保费，且应承担合同总金额30%的违约金。</w:t>
      </w:r>
    </w:p>
    <w:p w14:paraId="1741D193">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9.3</w:t>
      </w:r>
      <w:r>
        <w:rPr>
          <w:rFonts w:hint="eastAsia" w:ascii="仿宋" w:hAnsi="仿宋" w:eastAsia="仿宋" w:cs="仿宋"/>
          <w:color w:val="auto"/>
          <w:sz w:val="24"/>
          <w:szCs w:val="24"/>
          <w:highlight w:val="none"/>
        </w:rPr>
        <w:t>禁止分包与转包：乙方未经甲方书面同意，不得擅自分包、转包，否则甲方有权立即终止合同，并要求乙方停止分包、转包行为，同时有权要求乙方承担合同总金额</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0%的违约金。</w:t>
      </w:r>
    </w:p>
    <w:p w14:paraId="392DDAFF">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9.4</w:t>
      </w:r>
      <w:r>
        <w:rPr>
          <w:rFonts w:hint="eastAsia" w:ascii="仿宋" w:hAnsi="仿宋" w:eastAsia="仿宋" w:cs="仿宋"/>
          <w:color w:val="auto"/>
          <w:sz w:val="24"/>
          <w:szCs w:val="24"/>
          <w:highlight w:val="none"/>
        </w:rPr>
        <w:t>虚假投标与严重失信：合同签订生效后，若发现乙方在本项目中存在以虚假材料谋取中选等违反诚实信用、公序良俗的行为，或被列入严重违法失信企业名单的，甲方有权无条件解除合同并要求乙方退还全部费用及利息。</w:t>
      </w:r>
    </w:p>
    <w:p w14:paraId="3B7F26A7">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9.5</w:t>
      </w:r>
      <w:r>
        <w:rPr>
          <w:rFonts w:hint="eastAsia" w:ascii="仿宋" w:hAnsi="仿宋" w:eastAsia="仿宋" w:cs="仿宋"/>
          <w:color w:val="auto"/>
          <w:sz w:val="24"/>
          <w:szCs w:val="24"/>
          <w:highlight w:val="none"/>
        </w:rPr>
        <w:t>甲方逾期付款责任：甲方无正当理由逾期支付服务费的，每逾期一日，按应付未付金额的0.1‰向乙方支付违约金</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该违约金以未付金额的10%为限</w:t>
      </w:r>
      <w:r>
        <w:rPr>
          <w:rFonts w:hint="eastAsia" w:ascii="仿宋" w:hAnsi="仿宋" w:eastAsia="仿宋" w:cs="仿宋"/>
          <w:color w:val="auto"/>
          <w:sz w:val="24"/>
          <w:szCs w:val="24"/>
          <w:highlight w:val="none"/>
        </w:rPr>
        <w:t>。若因财政年终决算关账或财政资金未下达等客观原因或乙方未按甲方要求提交票据等资料导致甲方未按合同约定支付相应款项的，不视为甲方违约，甲方不承担任何违约责任。</w:t>
      </w:r>
    </w:p>
    <w:p w14:paraId="703CFAA2">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9.6</w:t>
      </w:r>
      <w:r>
        <w:rPr>
          <w:rFonts w:hint="eastAsia" w:ascii="仿宋" w:hAnsi="仿宋" w:eastAsia="仿宋" w:cs="仿宋"/>
          <w:color w:val="auto"/>
          <w:sz w:val="24"/>
          <w:szCs w:val="24"/>
          <w:highlight w:val="none"/>
        </w:rPr>
        <w:t>乙方违反保密义务的，甲方有权解除合同并要求乙方赔偿合同总金额</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0%的违约金，且有权要求乙方退还甲方已支付的全部款项及利息，乙方及涉事人员还需承担相关的法律责任。</w:t>
      </w:r>
    </w:p>
    <w:p w14:paraId="0F9A3D85">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9.7</w:t>
      </w:r>
      <w:r>
        <w:rPr>
          <w:rFonts w:hint="eastAsia" w:ascii="仿宋" w:hAnsi="仿宋" w:eastAsia="仿宋" w:cs="仿宋"/>
          <w:color w:val="auto"/>
          <w:sz w:val="24"/>
          <w:szCs w:val="24"/>
          <w:highlight w:val="none"/>
        </w:rPr>
        <w:t>未经双方协商一致，乙方不得单方面变更、中止、解除或终止本合同，否则乙方应承担合同总金额</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0%的违约金，并赔偿由此给甲方造成的全部损失。</w:t>
      </w:r>
    </w:p>
    <w:p w14:paraId="19E0019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9.8</w:t>
      </w:r>
      <w:r>
        <w:rPr>
          <w:rFonts w:hint="eastAsia" w:ascii="仿宋" w:hAnsi="仿宋" w:eastAsia="仿宋" w:cs="仿宋"/>
          <w:color w:val="auto"/>
          <w:sz w:val="24"/>
          <w:szCs w:val="24"/>
          <w:highlight w:val="none"/>
        </w:rPr>
        <w:t>乙方</w:t>
      </w:r>
      <w:r>
        <w:rPr>
          <w:rFonts w:hint="eastAsia" w:ascii="仿宋" w:hAnsi="仿宋" w:eastAsia="仿宋" w:cs="仿宋"/>
          <w:color w:val="auto"/>
          <w:sz w:val="24"/>
          <w:szCs w:val="24"/>
          <w:highlight w:val="none"/>
          <w:lang w:val="en-US" w:eastAsia="zh-CN"/>
        </w:rPr>
        <w:t>未按约定</w:t>
      </w:r>
      <w:r>
        <w:rPr>
          <w:rFonts w:hint="eastAsia" w:ascii="仿宋" w:hAnsi="仿宋" w:eastAsia="仿宋" w:cs="仿宋"/>
          <w:color w:val="auto"/>
          <w:sz w:val="24"/>
          <w:szCs w:val="24"/>
          <w:highlight w:val="none"/>
        </w:rPr>
        <w:t>履行</w:t>
      </w:r>
      <w:r>
        <w:rPr>
          <w:rFonts w:hint="eastAsia" w:ascii="仿宋" w:hAnsi="仿宋" w:eastAsia="仿宋" w:cs="仿宋"/>
          <w:color w:val="auto"/>
          <w:sz w:val="24"/>
          <w:szCs w:val="24"/>
          <w:highlight w:val="none"/>
          <w:lang w:val="en-US" w:eastAsia="zh-CN"/>
        </w:rPr>
        <w:t>服务网点、现场响应机制、团队配置、咨询与受理等服务</w:t>
      </w:r>
      <w:r>
        <w:rPr>
          <w:rFonts w:hint="eastAsia" w:ascii="仿宋" w:hAnsi="仿宋" w:eastAsia="仿宋" w:cs="仿宋"/>
          <w:color w:val="auto"/>
          <w:sz w:val="24"/>
          <w:szCs w:val="24"/>
          <w:highlight w:val="none"/>
        </w:rPr>
        <w:t>约定的，应当承担继续履行、采取补救措施或赔偿损失的违约责任，且每违反一次，应按人民币500元的标准向甲方支付违约金，甲方有权从</w:t>
      </w:r>
      <w:r>
        <w:rPr>
          <w:rFonts w:hint="eastAsia" w:ascii="仿宋" w:hAnsi="仿宋" w:eastAsia="仿宋" w:cs="仿宋"/>
          <w:color w:val="auto"/>
          <w:sz w:val="24"/>
          <w:szCs w:val="24"/>
          <w:highlight w:val="none"/>
          <w:lang w:val="en-US" w:eastAsia="zh-CN"/>
        </w:rPr>
        <w:t>应支付给乙方的费用</w:t>
      </w:r>
      <w:r>
        <w:rPr>
          <w:rFonts w:hint="eastAsia" w:ascii="仿宋" w:hAnsi="仿宋" w:eastAsia="仿宋" w:cs="仿宋"/>
          <w:color w:val="auto"/>
          <w:sz w:val="24"/>
          <w:szCs w:val="24"/>
          <w:highlight w:val="none"/>
        </w:rPr>
        <w:t>中直接扣除。违约金不足以弥补甲方损失的，乙方应继续赔偿。</w:t>
      </w:r>
    </w:p>
    <w:p w14:paraId="61951FA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9.9</w:t>
      </w:r>
      <w:r>
        <w:rPr>
          <w:rFonts w:hint="eastAsia" w:ascii="仿宋" w:hAnsi="仿宋" w:eastAsia="仿宋" w:cs="仿宋"/>
          <w:color w:val="auto"/>
          <w:sz w:val="24"/>
          <w:szCs w:val="24"/>
          <w:highlight w:val="none"/>
        </w:rPr>
        <w:t>乙方违反本合同约定的，应当按照本合同约定支付违约金，并赔偿由此给甲方造成的全部损失，包括甲方因诉讼产生的律师费、诉讼费用、保全保险费、差旅费等费用。</w:t>
      </w:r>
    </w:p>
    <w:p w14:paraId="37958092">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9.10</w:t>
      </w:r>
      <w:r>
        <w:rPr>
          <w:rFonts w:hint="eastAsia" w:ascii="仿宋" w:hAnsi="仿宋" w:eastAsia="仿宋" w:cs="仿宋"/>
          <w:color w:val="auto"/>
          <w:sz w:val="24"/>
          <w:szCs w:val="24"/>
          <w:highlight w:val="none"/>
        </w:rPr>
        <w:t>本文件所称“利息”按照同期中国人民银行授权全国银行间同业拆借中心公布的一年期贷款市场报价利率（LPR）为标准，从乙方应退还费用的应付而未付之日起计算。</w:t>
      </w:r>
    </w:p>
    <w:p w14:paraId="69936167">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797D2890">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第十条 通知与送达</w:t>
      </w:r>
    </w:p>
    <w:p w14:paraId="3267D6DD">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（1）双方同意以下列地址、联系人及联系方式为合同履行期间的有效送达信息：</w:t>
      </w:r>
    </w:p>
    <w:p w14:paraId="52AE4552">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甲方：地址【】；联系人【】；电话【】；电子邮箱【】。</w:t>
      </w:r>
    </w:p>
    <w:p w14:paraId="4609B729">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乙方：地址【】；联系人【】；电话【】；电子邮箱【】。</w:t>
      </w:r>
    </w:p>
    <w:p w14:paraId="0DD2053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（2）合同履行期间，任何一方变更上述联系方式的，应提前书面通知对方，否则原联系方式视为有效送达地址。</w:t>
      </w:r>
    </w:p>
    <w:p w14:paraId="64DCEC36">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（3）合同相关通知可通过专人递交、邮寄、传真、电子邮件等方式送达。通过电子邮件、传真等电子方式发送的，发送成功即视为送达。</w:t>
      </w:r>
    </w:p>
    <w:p w14:paraId="59F956B4">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（4）因一方未及时书面通知变更联系方式，导致通知无法送达的，相关通知自按照原联系方式发送之日视为已送达。</w:t>
      </w:r>
    </w:p>
    <w:p w14:paraId="1EB9E85C">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27FB4A6C">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第十一条 合同变更</w:t>
      </w:r>
    </w:p>
    <w:p w14:paraId="1165694C">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本合同任何条款的修改、补充，须经双方协商一致并以书面形式签署补充协议方为有效。任何口头或非书面形式的变更均无效。</w:t>
      </w:r>
    </w:p>
    <w:p w14:paraId="40F5BD01">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127B09FD">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第十二条 保密条款</w:t>
      </w:r>
    </w:p>
    <w:p w14:paraId="7640BF4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乙方应对在履行合同过程中知悉的甲方职工个人信息、业务数据及其他商业秘密承担永久保密义务，未经甲方书面同意，不得向任何第三方披露、泄露或用于与本合同无关的目的。乙方具体保密义务、数据安全责任及违约处理方式，按照本合同第五条“数据安全与保密”</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lang w:val="en-US" w:eastAsia="zh-CN"/>
        </w:rPr>
        <w:t>第九条9.6</w:t>
      </w:r>
      <w:r>
        <w:rPr>
          <w:rFonts w:hint="eastAsia" w:ascii="仿宋" w:hAnsi="仿宋" w:eastAsia="仿宋" w:cs="仿宋"/>
          <w:b w:val="0"/>
          <w:bCs w:val="0"/>
          <w:color w:val="auto"/>
          <w:sz w:val="24"/>
          <w:szCs w:val="24"/>
          <w:highlight w:val="none"/>
        </w:rPr>
        <w:t>约定执行。</w:t>
      </w:r>
    </w:p>
    <w:p w14:paraId="31BEC775">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24A9BF46">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第十三条 不可抗力事件处理</w:t>
      </w:r>
    </w:p>
    <w:p w14:paraId="68C5BDA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可抗力仅限于不能预见、不能避免且不能克服的自然灾害、政府行为等客观情况。乙方因不可抗力不能履行合同义务的，应在不可抗力事件发生后24小时内以书面形式通知甲方。逾期未通知或未提供证明的，视为放弃不可抗力免责主张。</w:t>
      </w:r>
    </w:p>
    <w:p w14:paraId="1D8BCFF7">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在合同有效期内，任何一方因不可抗力事件导致不能履行合同，则合同履行期可延长，其延长期与不可抗力影响期相同。</w:t>
      </w:r>
    </w:p>
    <w:p w14:paraId="2F6D4B38">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不可抗力事件发生后，应立即通知对方，并寄送有关权威机构出具的证明。</w:t>
      </w:r>
    </w:p>
    <w:p w14:paraId="39ED3B7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不可抗力事件延续120天以上，双方应通过友好协商，确定是否继续履行合同。</w:t>
      </w:r>
    </w:p>
    <w:p w14:paraId="5B91599E">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558C2845">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第十四条 解决合同纠纷的方式</w:t>
      </w:r>
    </w:p>
    <w:p w14:paraId="3403C35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合同引起的或与本合同有关的任何争议，由双方当事人协商解决，也可以向有关部门申请调解。协商或调解不成，当事人可依照有关法律规定将争议向甲方所在地人民法院起诉。上述过程发生的费用(诉讼费、保全费、胜诉方律师代理费等)由败诉方承担。在进行法院审理期间，除提交法院审理的事项外，合同仍应继续履行。</w:t>
      </w:r>
    </w:p>
    <w:p w14:paraId="27D0E122">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p>
    <w:p w14:paraId="6F6DAFDC">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第十五条 合同生效</w:t>
      </w:r>
    </w:p>
    <w:p w14:paraId="41D97430">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合同经双方法定代表人/单位负责人或授权委托代理人签字并加盖单位公章后生效。</w:t>
      </w:r>
    </w:p>
    <w:p w14:paraId="2987D85D">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p>
    <w:p w14:paraId="018B79E4">
      <w:pPr>
        <w:pageBreakBefore w:val="0"/>
        <w:widowControl w:val="0"/>
        <w:kinsoku/>
        <w:wordWrap w:val="0"/>
        <w:overflowPunct/>
        <w:topLinePunct w:val="0"/>
        <w:autoSpaceDE/>
        <w:autoSpaceDN/>
        <w:bidi w:val="0"/>
        <w:spacing w:line="240" w:lineRule="auto"/>
        <w:ind w:firstLine="482" w:firstLineChars="200"/>
        <w:jc w:val="both"/>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第十六条 其他</w:t>
      </w:r>
    </w:p>
    <w:p w14:paraId="288C44BE">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1、如有未尽事宜，由双方依法订立补充合同。</w:t>
      </w:r>
    </w:p>
    <w:p w14:paraId="1B7D662B">
      <w:pPr>
        <w:pageBreakBefore w:val="0"/>
        <w:widowControl w:val="0"/>
        <w:kinsoku/>
        <w:wordWrap w:val="0"/>
        <w:overflowPunct/>
        <w:topLinePunct w:val="0"/>
        <w:autoSpaceDE/>
        <w:autoSpaceDN/>
        <w:bidi w:val="0"/>
        <w:spacing w:line="240" w:lineRule="auto"/>
        <w:ind w:firstLine="480" w:firstLineChars="200"/>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2、本合同一式肆份。甲方三份，乙方一份。</w:t>
      </w:r>
    </w:p>
    <w:tbl>
      <w:tblPr>
        <w:tblStyle w:val="15"/>
        <w:tblpPr w:leftFromText="180" w:rightFromText="180" w:vertAnchor="text" w:horzAnchor="page" w:tblpX="1114" w:tblpY="542"/>
        <w:tblOverlap w:val="never"/>
        <w:tblW w:w="4999" w:type="pct"/>
        <w:tblInd w:w="0" w:type="dxa"/>
        <w:tblLayout w:type="autofit"/>
        <w:tblCellMar>
          <w:top w:w="0" w:type="dxa"/>
          <w:left w:w="108" w:type="dxa"/>
          <w:bottom w:w="0" w:type="dxa"/>
          <w:right w:w="108" w:type="dxa"/>
        </w:tblCellMar>
      </w:tblPr>
      <w:tblGrid>
        <w:gridCol w:w="4756"/>
        <w:gridCol w:w="4870"/>
      </w:tblGrid>
      <w:tr w14:paraId="7B2D3C55">
        <w:tblPrEx>
          <w:tblCellMar>
            <w:top w:w="0" w:type="dxa"/>
            <w:left w:w="108" w:type="dxa"/>
            <w:bottom w:w="0" w:type="dxa"/>
            <w:right w:w="108" w:type="dxa"/>
          </w:tblCellMar>
        </w:tblPrEx>
        <w:trPr>
          <w:trHeight w:val="90" w:hRule="atLeast"/>
        </w:trPr>
        <w:tc>
          <w:tcPr>
            <w:tcW w:w="2470" w:type="pct"/>
          </w:tcPr>
          <w:p w14:paraId="2A319644">
            <w:pPr>
              <w:pageBreakBefore w:val="0"/>
              <w:widowControl w:val="0"/>
              <w:kinsoku/>
              <w:wordWrap w:val="0"/>
              <w:overflowPunct/>
              <w:topLinePunct w:val="0"/>
              <w:autoSpaceDE/>
              <w:autoSpaceDN/>
              <w:bidi w:val="0"/>
              <w:snapToGrid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甲方：</w:t>
            </w:r>
            <w:r>
              <w:rPr>
                <w:rFonts w:hint="eastAsia" w:ascii="仿宋" w:hAnsi="仿宋" w:eastAsia="仿宋" w:cs="仿宋"/>
                <w:color w:val="auto"/>
                <w:sz w:val="24"/>
                <w:szCs w:val="24"/>
                <w:highlight w:val="none"/>
                <w:lang w:val="en-US" w:eastAsia="zh-CN"/>
              </w:rPr>
              <w:t>成都市成华区第七人民医院</w:t>
            </w:r>
            <w:r>
              <w:rPr>
                <w:rFonts w:hint="eastAsia" w:ascii="仿宋" w:hAnsi="仿宋" w:eastAsia="仿宋" w:cs="仿宋"/>
                <w:color w:val="auto"/>
                <w:sz w:val="24"/>
                <w:szCs w:val="24"/>
                <w:highlight w:val="none"/>
              </w:rPr>
              <w:t>（章）</w:t>
            </w:r>
          </w:p>
          <w:p w14:paraId="63A60181">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　</w:t>
            </w:r>
          </w:p>
          <w:p w14:paraId="57E3DFF3">
            <w:pPr>
              <w:pageBreakBefore w:val="0"/>
              <w:widowControl/>
              <w:kinsoku/>
              <w:wordWrap/>
              <w:overflowPunct/>
              <w:topLinePunct w:val="0"/>
              <w:autoSpaceDE/>
              <w:autoSpaceDN/>
              <w:bidi w:val="0"/>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w:t>
            </w:r>
            <w:r>
              <w:rPr>
                <w:rFonts w:hint="eastAsia" w:ascii="仿宋" w:hAnsi="仿宋" w:eastAsia="仿宋" w:cs="仿宋"/>
                <w:color w:val="auto"/>
                <w:sz w:val="24"/>
                <w:szCs w:val="24"/>
                <w:highlight w:val="none"/>
                <w:lang w:val="en-US" w:eastAsia="zh-CN"/>
              </w:rPr>
              <w:t>定代表</w:t>
            </w:r>
            <w:r>
              <w:rPr>
                <w:rFonts w:hint="eastAsia" w:ascii="仿宋" w:hAnsi="仿宋" w:eastAsia="仿宋" w:cs="仿宋"/>
                <w:color w:val="auto"/>
                <w:sz w:val="24"/>
                <w:szCs w:val="24"/>
                <w:highlight w:val="none"/>
              </w:rPr>
              <w:t>人</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授权代理人签字：</w:t>
            </w:r>
          </w:p>
          <w:p w14:paraId="4DCD3849">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统一社会信用代码：</w:t>
            </w:r>
          </w:p>
          <w:p w14:paraId="76E7D5BE">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开户行：</w:t>
            </w:r>
          </w:p>
          <w:p w14:paraId="11EF5D57">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账号： </w:t>
            </w:r>
          </w:p>
          <w:p w14:paraId="3665219C">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电话： </w:t>
            </w:r>
          </w:p>
          <w:p w14:paraId="2106157C">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传真： </w:t>
            </w:r>
          </w:p>
          <w:p w14:paraId="75AF132F">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工作联系QQ：</w:t>
            </w:r>
          </w:p>
          <w:p w14:paraId="1F4BB7FC">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月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日 </w:t>
            </w:r>
          </w:p>
        </w:tc>
        <w:tc>
          <w:tcPr>
            <w:tcW w:w="2529" w:type="pct"/>
          </w:tcPr>
          <w:p w14:paraId="1B55586B">
            <w:pPr>
              <w:pageBreakBefore w:val="0"/>
              <w:widowControl w:val="0"/>
              <w:kinsoku/>
              <w:wordWrap w:val="0"/>
              <w:overflowPunct/>
              <w:topLinePunct w:val="0"/>
              <w:autoSpaceDE/>
              <w:autoSpaceDN/>
              <w:bidi w:val="0"/>
              <w:snapToGrid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乙方：（章）</w:t>
            </w:r>
          </w:p>
          <w:p w14:paraId="273014CB">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p>
          <w:p w14:paraId="74239F69">
            <w:pPr>
              <w:pageBreakBefore w:val="0"/>
              <w:widowControl/>
              <w:kinsoku/>
              <w:wordWrap/>
              <w:overflowPunct/>
              <w:topLinePunct w:val="0"/>
              <w:autoSpaceDE/>
              <w:autoSpaceDN/>
              <w:bidi w:val="0"/>
              <w:spacing w:line="24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w:t>
            </w:r>
            <w:r>
              <w:rPr>
                <w:rFonts w:hint="eastAsia" w:ascii="仿宋" w:hAnsi="仿宋" w:eastAsia="仿宋" w:cs="仿宋"/>
                <w:color w:val="auto"/>
                <w:sz w:val="24"/>
                <w:szCs w:val="24"/>
                <w:highlight w:val="none"/>
                <w:lang w:val="en-US" w:eastAsia="zh-CN"/>
              </w:rPr>
              <w:t>定代表</w:t>
            </w:r>
            <w:r>
              <w:rPr>
                <w:rFonts w:hint="eastAsia" w:ascii="仿宋" w:hAnsi="仿宋" w:eastAsia="仿宋" w:cs="仿宋"/>
                <w:color w:val="auto"/>
                <w:sz w:val="24"/>
                <w:szCs w:val="24"/>
                <w:highlight w:val="none"/>
              </w:rPr>
              <w:t>人</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授权代理人签字：</w:t>
            </w:r>
          </w:p>
          <w:p w14:paraId="0214AEC1">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统一社会信用代码：</w:t>
            </w:r>
          </w:p>
          <w:p w14:paraId="2C151C54">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开户行：</w:t>
            </w:r>
          </w:p>
          <w:p w14:paraId="18BE8DB9">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账号：</w:t>
            </w:r>
          </w:p>
          <w:p w14:paraId="75E672E6">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电话： </w:t>
            </w:r>
          </w:p>
          <w:p w14:paraId="5BF9A7B2">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传真：</w:t>
            </w:r>
          </w:p>
          <w:p w14:paraId="1F576EC3">
            <w:pPr>
              <w:pageBreakBefore w:val="0"/>
              <w:widowControl w:val="0"/>
              <w:kinsoku/>
              <w:wordWrap w:val="0"/>
              <w:overflowPunct/>
              <w:topLinePunct w:val="0"/>
              <w:autoSpaceDE/>
              <w:autoSpaceDN/>
              <w:bidi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工作联系QQ:</w:t>
            </w:r>
          </w:p>
          <w:p w14:paraId="1C7B8871">
            <w:pPr>
              <w:pageBreakBefore w:val="0"/>
              <w:widowControl w:val="0"/>
              <w:kinsoku/>
              <w:wordWrap w:val="0"/>
              <w:overflowPunct/>
              <w:topLinePunct w:val="0"/>
              <w:autoSpaceDE/>
              <w:autoSpaceDN/>
              <w:bidi w:val="0"/>
              <w:snapToGrid w:val="0"/>
              <w:spacing w:line="240" w:lineRule="auto"/>
              <w:jc w:val="both"/>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月</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 xml:space="preserve">　日 </w:t>
            </w:r>
          </w:p>
        </w:tc>
      </w:tr>
    </w:tbl>
    <w:p w14:paraId="3C5AD1A6">
      <w:pPr>
        <w:rPr>
          <w:rFonts w:hint="eastAsia" w:ascii="仿宋" w:hAnsi="仿宋" w:eastAsia="仿宋" w:cs="仿宋"/>
          <w:color w:val="auto"/>
          <w:highlight w:val="none"/>
        </w:rPr>
      </w:pPr>
    </w:p>
    <w:p w14:paraId="722D5779">
      <w:pPr>
        <w:rPr>
          <w:rFonts w:hint="eastAsia" w:ascii="仿宋" w:hAnsi="仿宋" w:eastAsia="仿宋" w:cs="仿宋"/>
          <w:color w:val="auto"/>
          <w:highlight w:val="none"/>
        </w:rPr>
      </w:pPr>
    </w:p>
    <w:p w14:paraId="0766C728">
      <w:pPr>
        <w:rPr>
          <w:rFonts w:hint="eastAsia" w:ascii="仿宋" w:hAnsi="仿宋" w:eastAsia="仿宋" w:cs="仿宋"/>
          <w:color w:val="auto"/>
          <w:highlight w:val="none"/>
        </w:rPr>
      </w:pPr>
    </w:p>
    <w:sectPr>
      <w:pgSz w:w="11906" w:h="16838"/>
      <w:pgMar w:top="1418" w:right="1247" w:bottom="1418" w:left="1247" w:header="851" w:footer="992" w:gutter="0"/>
      <w:pgNumType w:fmt="numberInDash"/>
      <w:cols w:space="0" w:num="1"/>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9F4FE19E-8373-4B00-B312-E727C26053D1}"/>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EBD16">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1179D9">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D1179D9">
                    <w:pPr>
                      <w:pStyle w:val="10"/>
                    </w:pPr>
                    <w:r>
                      <w:fldChar w:fldCharType="begin"/>
                    </w:r>
                    <w:r>
                      <w:instrText xml:space="preserve"> PAGE  \* MERGEFORMAT </w:instrText>
                    </w:r>
                    <w:r>
                      <w:fldChar w:fldCharType="separate"/>
                    </w:r>
                    <w:r>
                      <w:t>1</w:t>
                    </w:r>
                    <w:r>
                      <w:fldChar w:fldCharType="end"/>
                    </w:r>
                  </w:p>
                </w:txbxContent>
              </v:textbox>
            </v:shape>
          </w:pict>
        </mc:Fallback>
      </mc:AlternateContent>
    </w:r>
    <w:sdt>
      <w:sdtPr>
        <w:id w:val="-2030629285"/>
        <w:showingPlcHdr/>
      </w:sdtPr>
      <w:sdtContent>
        <w:r>
          <w:t xml:space="preserve">     </w:t>
        </w:r>
      </w:sdtContent>
    </w:sdt>
  </w:p>
  <w:p w14:paraId="4B9CBA5C">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D90D7">
    <w:pPr>
      <w:pStyle w:val="10"/>
      <w:jc w:val="center"/>
      <w:rPr>
        <w:rFonts w:asciiTheme="minorEastAsia" w:hAnsiTheme="minorEastAsia"/>
        <w:b/>
        <w:bCs/>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E5EBCD">
                          <w:pPr>
                            <w:rPr>
                              <w:rFonts w:asciiTheme="minorEastAsia" w:hAnsiTheme="minorEastAsia"/>
                              <w:b/>
                              <w:bCs/>
                            </w:rPr>
                          </w:pPr>
                          <w:r>
                            <w:rPr>
                              <w:rFonts w:asciiTheme="minorEastAsia" w:hAnsiTheme="minorEastAsia"/>
                              <w:b/>
                              <w:bCs/>
                            </w:rPr>
                            <w:fldChar w:fldCharType="begin"/>
                          </w:r>
                          <w:r>
                            <w:rPr>
                              <w:rFonts w:asciiTheme="minorEastAsia" w:hAnsiTheme="minorEastAsia"/>
                              <w:b/>
                              <w:bCs/>
                            </w:rPr>
                            <w:instrText xml:space="preserve"> PAGE  \* MERGEFORMAT </w:instrText>
                          </w:r>
                          <w:r>
                            <w:rPr>
                              <w:rFonts w:asciiTheme="minorEastAsia" w:hAnsiTheme="minorEastAsia"/>
                              <w:b/>
                              <w:bCs/>
                            </w:rPr>
                            <w:fldChar w:fldCharType="separate"/>
                          </w:r>
                          <w:r>
                            <w:rPr>
                              <w:rFonts w:asciiTheme="minorEastAsia" w:hAnsiTheme="minorEastAsia"/>
                              <w:b/>
                              <w:bCs/>
                            </w:rPr>
                            <w:t>- 1 -</w:t>
                          </w:r>
                          <w:r>
                            <w:rPr>
                              <w:rFonts w:asciiTheme="minorEastAsia" w:hAnsiTheme="minorEastAsia"/>
                              <w:b/>
                              <w:bC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1E5EBCD">
                    <w:pPr>
                      <w:rPr>
                        <w:rFonts w:asciiTheme="minorEastAsia" w:hAnsiTheme="minorEastAsia"/>
                        <w:b/>
                        <w:bCs/>
                      </w:rPr>
                    </w:pPr>
                    <w:r>
                      <w:rPr>
                        <w:rFonts w:asciiTheme="minorEastAsia" w:hAnsiTheme="minorEastAsia"/>
                        <w:b/>
                        <w:bCs/>
                      </w:rPr>
                      <w:fldChar w:fldCharType="begin"/>
                    </w:r>
                    <w:r>
                      <w:rPr>
                        <w:rFonts w:asciiTheme="minorEastAsia" w:hAnsiTheme="minorEastAsia"/>
                        <w:b/>
                        <w:bCs/>
                      </w:rPr>
                      <w:instrText xml:space="preserve"> PAGE  \* MERGEFORMAT </w:instrText>
                    </w:r>
                    <w:r>
                      <w:rPr>
                        <w:rFonts w:asciiTheme="minorEastAsia" w:hAnsiTheme="minorEastAsia"/>
                        <w:b/>
                        <w:bCs/>
                      </w:rPr>
                      <w:fldChar w:fldCharType="separate"/>
                    </w:r>
                    <w:r>
                      <w:rPr>
                        <w:rFonts w:asciiTheme="minorEastAsia" w:hAnsiTheme="minorEastAsia"/>
                        <w:b/>
                        <w:bCs/>
                      </w:rPr>
                      <w:t>- 1 -</w:t>
                    </w:r>
                    <w:r>
                      <w:rPr>
                        <w:rFonts w:asciiTheme="minorEastAsia" w:hAnsiTheme="minorEastAsia"/>
                        <w:b/>
                        <w:bCs/>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5293E">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979B74">
                          <w:pPr>
                            <w:pStyle w:val="10"/>
                          </w:pPr>
                          <w:r>
                            <w:fldChar w:fldCharType="begin"/>
                          </w:r>
                          <w:r>
                            <w:instrText xml:space="preserve"> PAGE  \* MERGEFORMAT </w:instrText>
                          </w:r>
                          <w:r>
                            <w:fldChar w:fldCharType="separate"/>
                          </w:r>
                          <w:r>
                            <w:t>- 12 -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C979B74">
                    <w:pPr>
                      <w:pStyle w:val="10"/>
                    </w:pPr>
                    <w:r>
                      <w:fldChar w:fldCharType="begin"/>
                    </w:r>
                    <w:r>
                      <w:instrText xml:space="preserve"> PAGE  \* MERGEFORMAT </w:instrText>
                    </w:r>
                    <w:r>
                      <w:fldChar w:fldCharType="separate"/>
                    </w:r>
                    <w:r>
                      <w:t>- 12 -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58C68">
    <w:pPr>
      <w:pStyle w:val="11"/>
      <w:jc w:val="righ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0FFDB">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942FA6"/>
    <w:multiLevelType w:val="singleLevel"/>
    <w:tmpl w:val="30942FA6"/>
    <w:lvl w:ilvl="0" w:tentative="0">
      <w:start w:val="1"/>
      <w:numFmt w:val="decimal"/>
      <w:pStyle w:val="23"/>
      <w:lvlText w:val="%1."/>
      <w:lvlJc w:val="left"/>
      <w:pPr>
        <w:ind w:left="425" w:hanging="425"/>
      </w:pPr>
      <w:rPr>
        <w:rFonts w:hint="default"/>
      </w:r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1"/>
      <w:numFmt w:val="lowerLetter"/>
      <w:pStyle w:val="20"/>
      <w:lvlText w:val="%5)"/>
      <w:lvlJc w:val="left"/>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5D9E50C8"/>
    <w:multiLevelType w:val="multilevel"/>
    <w:tmpl w:val="5D9E50C8"/>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F3D16D2"/>
    <w:multiLevelType w:val="multilevel"/>
    <w:tmpl w:val="7F3D16D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506DF2"/>
    <w:rsid w:val="0023516D"/>
    <w:rsid w:val="00327CB1"/>
    <w:rsid w:val="00441793"/>
    <w:rsid w:val="005F481F"/>
    <w:rsid w:val="00675481"/>
    <w:rsid w:val="006836D3"/>
    <w:rsid w:val="007200AE"/>
    <w:rsid w:val="008553DD"/>
    <w:rsid w:val="008B73C2"/>
    <w:rsid w:val="008D138C"/>
    <w:rsid w:val="01087875"/>
    <w:rsid w:val="01105031"/>
    <w:rsid w:val="011937D7"/>
    <w:rsid w:val="011E3D92"/>
    <w:rsid w:val="0125460F"/>
    <w:rsid w:val="01514167"/>
    <w:rsid w:val="017106F3"/>
    <w:rsid w:val="01883901"/>
    <w:rsid w:val="018F4C90"/>
    <w:rsid w:val="01EA0118"/>
    <w:rsid w:val="021A3862"/>
    <w:rsid w:val="021D04ED"/>
    <w:rsid w:val="027520D7"/>
    <w:rsid w:val="02832A46"/>
    <w:rsid w:val="028916DF"/>
    <w:rsid w:val="0295277A"/>
    <w:rsid w:val="02BA5D3C"/>
    <w:rsid w:val="0328714A"/>
    <w:rsid w:val="034A5312"/>
    <w:rsid w:val="03A04F32"/>
    <w:rsid w:val="03F359AA"/>
    <w:rsid w:val="041B0A5C"/>
    <w:rsid w:val="041B1889"/>
    <w:rsid w:val="045A3333"/>
    <w:rsid w:val="046917C8"/>
    <w:rsid w:val="047A2FA7"/>
    <w:rsid w:val="04A647CA"/>
    <w:rsid w:val="04A86794"/>
    <w:rsid w:val="04A942BA"/>
    <w:rsid w:val="04B0389B"/>
    <w:rsid w:val="04B54A0D"/>
    <w:rsid w:val="04F73278"/>
    <w:rsid w:val="05072E5A"/>
    <w:rsid w:val="050D4849"/>
    <w:rsid w:val="051C683A"/>
    <w:rsid w:val="054B2EBB"/>
    <w:rsid w:val="056F1060"/>
    <w:rsid w:val="057743B8"/>
    <w:rsid w:val="059E36F3"/>
    <w:rsid w:val="05F41C2F"/>
    <w:rsid w:val="0603624E"/>
    <w:rsid w:val="063E4AA0"/>
    <w:rsid w:val="06590829"/>
    <w:rsid w:val="06782196"/>
    <w:rsid w:val="069B7C33"/>
    <w:rsid w:val="06BF1B73"/>
    <w:rsid w:val="07035F04"/>
    <w:rsid w:val="07127832"/>
    <w:rsid w:val="07442078"/>
    <w:rsid w:val="074A3962"/>
    <w:rsid w:val="074F1149"/>
    <w:rsid w:val="07506DF2"/>
    <w:rsid w:val="07612C2A"/>
    <w:rsid w:val="07921036"/>
    <w:rsid w:val="07F937B1"/>
    <w:rsid w:val="0869448C"/>
    <w:rsid w:val="0890518A"/>
    <w:rsid w:val="08A70B11"/>
    <w:rsid w:val="08AF5C17"/>
    <w:rsid w:val="08F55D20"/>
    <w:rsid w:val="091D0DD3"/>
    <w:rsid w:val="093700E7"/>
    <w:rsid w:val="093D7CB1"/>
    <w:rsid w:val="09523172"/>
    <w:rsid w:val="096F5AD2"/>
    <w:rsid w:val="097C01EF"/>
    <w:rsid w:val="097C537E"/>
    <w:rsid w:val="09A908B8"/>
    <w:rsid w:val="09F204B1"/>
    <w:rsid w:val="0A0D0E47"/>
    <w:rsid w:val="0A2A121C"/>
    <w:rsid w:val="0A4E56B3"/>
    <w:rsid w:val="0A6138EE"/>
    <w:rsid w:val="0A73514E"/>
    <w:rsid w:val="0A960E3D"/>
    <w:rsid w:val="0AEA1189"/>
    <w:rsid w:val="0B065FC2"/>
    <w:rsid w:val="0B097861"/>
    <w:rsid w:val="0B275F39"/>
    <w:rsid w:val="0B3103BC"/>
    <w:rsid w:val="0B3B4488"/>
    <w:rsid w:val="0B6251C3"/>
    <w:rsid w:val="0B6B22C9"/>
    <w:rsid w:val="0B870B9C"/>
    <w:rsid w:val="0BA62885"/>
    <w:rsid w:val="0BB023D2"/>
    <w:rsid w:val="0BD75BB1"/>
    <w:rsid w:val="0BFF137E"/>
    <w:rsid w:val="0C0841C6"/>
    <w:rsid w:val="0C3C3C66"/>
    <w:rsid w:val="0C50326D"/>
    <w:rsid w:val="0C6F46DD"/>
    <w:rsid w:val="0C801DA5"/>
    <w:rsid w:val="0C871385"/>
    <w:rsid w:val="0C8D626F"/>
    <w:rsid w:val="0CDF31DD"/>
    <w:rsid w:val="0CF54541"/>
    <w:rsid w:val="0D531267"/>
    <w:rsid w:val="0D817B82"/>
    <w:rsid w:val="0D9553DC"/>
    <w:rsid w:val="0D9C676A"/>
    <w:rsid w:val="0DB00467"/>
    <w:rsid w:val="0DB64A40"/>
    <w:rsid w:val="0DDF2AFB"/>
    <w:rsid w:val="0DE325EB"/>
    <w:rsid w:val="0DF04D08"/>
    <w:rsid w:val="0DF93BBD"/>
    <w:rsid w:val="0DFD5ABA"/>
    <w:rsid w:val="0E185C00"/>
    <w:rsid w:val="0E7B0A75"/>
    <w:rsid w:val="0EA16002"/>
    <w:rsid w:val="0ECB7C45"/>
    <w:rsid w:val="0EE02FCE"/>
    <w:rsid w:val="0EF645A0"/>
    <w:rsid w:val="0F2729AB"/>
    <w:rsid w:val="0F5F3EF3"/>
    <w:rsid w:val="0F633DDD"/>
    <w:rsid w:val="0FC63F72"/>
    <w:rsid w:val="0FD91EF8"/>
    <w:rsid w:val="0FF705D0"/>
    <w:rsid w:val="10392996"/>
    <w:rsid w:val="104428EE"/>
    <w:rsid w:val="10607CBB"/>
    <w:rsid w:val="10702130"/>
    <w:rsid w:val="10AC13BA"/>
    <w:rsid w:val="10BB1BCD"/>
    <w:rsid w:val="10EF574B"/>
    <w:rsid w:val="111D4066"/>
    <w:rsid w:val="11627CCB"/>
    <w:rsid w:val="1193257A"/>
    <w:rsid w:val="11CC15E8"/>
    <w:rsid w:val="11E44B84"/>
    <w:rsid w:val="12062D4C"/>
    <w:rsid w:val="128679E9"/>
    <w:rsid w:val="12957C2C"/>
    <w:rsid w:val="12BB2F1D"/>
    <w:rsid w:val="12E6645C"/>
    <w:rsid w:val="12F64B6E"/>
    <w:rsid w:val="13131976"/>
    <w:rsid w:val="135B2C24"/>
    <w:rsid w:val="138403CC"/>
    <w:rsid w:val="138C102F"/>
    <w:rsid w:val="13BF412F"/>
    <w:rsid w:val="13DE16FF"/>
    <w:rsid w:val="14292D22"/>
    <w:rsid w:val="146F2E2A"/>
    <w:rsid w:val="14B05788"/>
    <w:rsid w:val="15190FE8"/>
    <w:rsid w:val="15B605E5"/>
    <w:rsid w:val="15BF56ED"/>
    <w:rsid w:val="15CF145B"/>
    <w:rsid w:val="161F262E"/>
    <w:rsid w:val="163F682C"/>
    <w:rsid w:val="16663DB9"/>
    <w:rsid w:val="16753188"/>
    <w:rsid w:val="16970417"/>
    <w:rsid w:val="16B20DAC"/>
    <w:rsid w:val="16D46F5F"/>
    <w:rsid w:val="16D91444"/>
    <w:rsid w:val="16FC64CC"/>
    <w:rsid w:val="17084768"/>
    <w:rsid w:val="17261D73"/>
    <w:rsid w:val="17306175"/>
    <w:rsid w:val="177469AA"/>
    <w:rsid w:val="17AB109A"/>
    <w:rsid w:val="17AD104E"/>
    <w:rsid w:val="17CC40F0"/>
    <w:rsid w:val="17E21B65"/>
    <w:rsid w:val="180970F2"/>
    <w:rsid w:val="18450A85"/>
    <w:rsid w:val="186802BC"/>
    <w:rsid w:val="187E507D"/>
    <w:rsid w:val="18893D8F"/>
    <w:rsid w:val="18980476"/>
    <w:rsid w:val="18A542F0"/>
    <w:rsid w:val="18D70F9E"/>
    <w:rsid w:val="190478B9"/>
    <w:rsid w:val="190A3122"/>
    <w:rsid w:val="19143631"/>
    <w:rsid w:val="19143FA0"/>
    <w:rsid w:val="195B5257"/>
    <w:rsid w:val="199B021E"/>
    <w:rsid w:val="1A141D7E"/>
    <w:rsid w:val="1A2053DE"/>
    <w:rsid w:val="1A22449B"/>
    <w:rsid w:val="1A254691"/>
    <w:rsid w:val="1A3B555D"/>
    <w:rsid w:val="1A516B2E"/>
    <w:rsid w:val="1A703458"/>
    <w:rsid w:val="1ABA0B77"/>
    <w:rsid w:val="1AC94917"/>
    <w:rsid w:val="1AE16104"/>
    <w:rsid w:val="1B481CDF"/>
    <w:rsid w:val="1B4C5F5B"/>
    <w:rsid w:val="1B656D35"/>
    <w:rsid w:val="1B9500EE"/>
    <w:rsid w:val="1B952BE0"/>
    <w:rsid w:val="1BFE4A94"/>
    <w:rsid w:val="1C183DA8"/>
    <w:rsid w:val="1C6C5EA1"/>
    <w:rsid w:val="1CA46958"/>
    <w:rsid w:val="1CC143A6"/>
    <w:rsid w:val="1D01426F"/>
    <w:rsid w:val="1D291FE4"/>
    <w:rsid w:val="1D48246B"/>
    <w:rsid w:val="1D4E55A7"/>
    <w:rsid w:val="1D6A1F13"/>
    <w:rsid w:val="1D762D4C"/>
    <w:rsid w:val="1D884F5D"/>
    <w:rsid w:val="1DB573D4"/>
    <w:rsid w:val="1DC53ABB"/>
    <w:rsid w:val="1DC6338F"/>
    <w:rsid w:val="1DF779ED"/>
    <w:rsid w:val="1E7E1EBC"/>
    <w:rsid w:val="1EA77665"/>
    <w:rsid w:val="1EBA3314"/>
    <w:rsid w:val="1F0C571A"/>
    <w:rsid w:val="1F0D396C"/>
    <w:rsid w:val="1F1357C7"/>
    <w:rsid w:val="1F274302"/>
    <w:rsid w:val="1F7A08D5"/>
    <w:rsid w:val="1FC97167"/>
    <w:rsid w:val="1FE01B46"/>
    <w:rsid w:val="20546C98"/>
    <w:rsid w:val="206226A6"/>
    <w:rsid w:val="206F2A21"/>
    <w:rsid w:val="20790B8D"/>
    <w:rsid w:val="211865F8"/>
    <w:rsid w:val="216058A9"/>
    <w:rsid w:val="2185616B"/>
    <w:rsid w:val="218B0B78"/>
    <w:rsid w:val="21A8797C"/>
    <w:rsid w:val="21B04A82"/>
    <w:rsid w:val="21BF6A73"/>
    <w:rsid w:val="223C6316"/>
    <w:rsid w:val="22520DC7"/>
    <w:rsid w:val="226715E5"/>
    <w:rsid w:val="22680EB9"/>
    <w:rsid w:val="2281190E"/>
    <w:rsid w:val="228D26CE"/>
    <w:rsid w:val="22B833BA"/>
    <w:rsid w:val="22CF2CE6"/>
    <w:rsid w:val="22D622C7"/>
    <w:rsid w:val="22F34C27"/>
    <w:rsid w:val="234611FA"/>
    <w:rsid w:val="238166D6"/>
    <w:rsid w:val="238D507B"/>
    <w:rsid w:val="240864B0"/>
    <w:rsid w:val="244B4C8B"/>
    <w:rsid w:val="246B4C91"/>
    <w:rsid w:val="24747CF2"/>
    <w:rsid w:val="2492221D"/>
    <w:rsid w:val="249B7324"/>
    <w:rsid w:val="249E6E14"/>
    <w:rsid w:val="24AB32DF"/>
    <w:rsid w:val="24C04FDC"/>
    <w:rsid w:val="24C820E3"/>
    <w:rsid w:val="24EC4023"/>
    <w:rsid w:val="253432D4"/>
    <w:rsid w:val="253A4D8F"/>
    <w:rsid w:val="2540783F"/>
    <w:rsid w:val="255701E1"/>
    <w:rsid w:val="257858B7"/>
    <w:rsid w:val="2593624D"/>
    <w:rsid w:val="25973F8F"/>
    <w:rsid w:val="25C805EC"/>
    <w:rsid w:val="25D02FFD"/>
    <w:rsid w:val="26633E71"/>
    <w:rsid w:val="26751DF6"/>
    <w:rsid w:val="2720370E"/>
    <w:rsid w:val="276F6846"/>
    <w:rsid w:val="277C287E"/>
    <w:rsid w:val="279010F0"/>
    <w:rsid w:val="27C50B33"/>
    <w:rsid w:val="27CC62DD"/>
    <w:rsid w:val="27F52125"/>
    <w:rsid w:val="282B4E63"/>
    <w:rsid w:val="28481571"/>
    <w:rsid w:val="28722A91"/>
    <w:rsid w:val="2884317E"/>
    <w:rsid w:val="289D127E"/>
    <w:rsid w:val="28F43F3F"/>
    <w:rsid w:val="29037B8D"/>
    <w:rsid w:val="293146FB"/>
    <w:rsid w:val="295977AD"/>
    <w:rsid w:val="2A3D0E7D"/>
    <w:rsid w:val="2A7A5C2D"/>
    <w:rsid w:val="2A7C3754"/>
    <w:rsid w:val="2A7D127A"/>
    <w:rsid w:val="2ADD41A3"/>
    <w:rsid w:val="2AE17F6A"/>
    <w:rsid w:val="2B3D790B"/>
    <w:rsid w:val="2BBB2606"/>
    <w:rsid w:val="2BCA6741"/>
    <w:rsid w:val="2BE11973"/>
    <w:rsid w:val="2C15368C"/>
    <w:rsid w:val="2C662AD0"/>
    <w:rsid w:val="2C672279"/>
    <w:rsid w:val="2C9E3E55"/>
    <w:rsid w:val="2CC31B0E"/>
    <w:rsid w:val="2CE43832"/>
    <w:rsid w:val="2D287BC3"/>
    <w:rsid w:val="2D5C786C"/>
    <w:rsid w:val="2DA37249"/>
    <w:rsid w:val="2DA90D03"/>
    <w:rsid w:val="2DB33930"/>
    <w:rsid w:val="2DD90EBD"/>
    <w:rsid w:val="2DF126AA"/>
    <w:rsid w:val="2DFB7085"/>
    <w:rsid w:val="2E073C7C"/>
    <w:rsid w:val="2E1A575D"/>
    <w:rsid w:val="2E4865B6"/>
    <w:rsid w:val="2E6764C9"/>
    <w:rsid w:val="2E7F7CB6"/>
    <w:rsid w:val="2E840911"/>
    <w:rsid w:val="2ED410E1"/>
    <w:rsid w:val="2F0E4B96"/>
    <w:rsid w:val="2F2D0919"/>
    <w:rsid w:val="2F3E7229"/>
    <w:rsid w:val="2F854E58"/>
    <w:rsid w:val="2F8E6FEF"/>
    <w:rsid w:val="2FD14541"/>
    <w:rsid w:val="30182170"/>
    <w:rsid w:val="305D5DD5"/>
    <w:rsid w:val="30601421"/>
    <w:rsid w:val="30731B82"/>
    <w:rsid w:val="30850E88"/>
    <w:rsid w:val="309061AB"/>
    <w:rsid w:val="30915A7F"/>
    <w:rsid w:val="30EC4708"/>
    <w:rsid w:val="31132938"/>
    <w:rsid w:val="31274283"/>
    <w:rsid w:val="31281529"/>
    <w:rsid w:val="31342FDA"/>
    <w:rsid w:val="3163741B"/>
    <w:rsid w:val="317C228B"/>
    <w:rsid w:val="31C2656B"/>
    <w:rsid w:val="321413D7"/>
    <w:rsid w:val="324A2389"/>
    <w:rsid w:val="32604C38"/>
    <w:rsid w:val="326571C3"/>
    <w:rsid w:val="326F1DF0"/>
    <w:rsid w:val="328E04C8"/>
    <w:rsid w:val="329D695D"/>
    <w:rsid w:val="329F4483"/>
    <w:rsid w:val="329F4D04"/>
    <w:rsid w:val="32BF657F"/>
    <w:rsid w:val="32C96112"/>
    <w:rsid w:val="33ED121E"/>
    <w:rsid w:val="33F94067"/>
    <w:rsid w:val="340053F5"/>
    <w:rsid w:val="34031DE2"/>
    <w:rsid w:val="341964B7"/>
    <w:rsid w:val="344A48C2"/>
    <w:rsid w:val="347831DE"/>
    <w:rsid w:val="34CA77B1"/>
    <w:rsid w:val="34CF34ED"/>
    <w:rsid w:val="34DA1D12"/>
    <w:rsid w:val="351F5D4F"/>
    <w:rsid w:val="3566572C"/>
    <w:rsid w:val="3575771D"/>
    <w:rsid w:val="35A3428A"/>
    <w:rsid w:val="35B244CD"/>
    <w:rsid w:val="35E6686D"/>
    <w:rsid w:val="35EE629E"/>
    <w:rsid w:val="363B2715"/>
    <w:rsid w:val="365437D6"/>
    <w:rsid w:val="368D0A96"/>
    <w:rsid w:val="368E3F73"/>
    <w:rsid w:val="36932551"/>
    <w:rsid w:val="369C2E94"/>
    <w:rsid w:val="36BA67AF"/>
    <w:rsid w:val="36BD137C"/>
    <w:rsid w:val="371A057C"/>
    <w:rsid w:val="37357164"/>
    <w:rsid w:val="37751C56"/>
    <w:rsid w:val="37863E63"/>
    <w:rsid w:val="383218F5"/>
    <w:rsid w:val="38747024"/>
    <w:rsid w:val="38A26A7B"/>
    <w:rsid w:val="38B247E4"/>
    <w:rsid w:val="38B478C6"/>
    <w:rsid w:val="38E56968"/>
    <w:rsid w:val="395801D3"/>
    <w:rsid w:val="39DA0497"/>
    <w:rsid w:val="3A015A23"/>
    <w:rsid w:val="3A0E1EEE"/>
    <w:rsid w:val="3A41569E"/>
    <w:rsid w:val="3A576B5D"/>
    <w:rsid w:val="3A9B19D4"/>
    <w:rsid w:val="3ACA050B"/>
    <w:rsid w:val="3ADB44C6"/>
    <w:rsid w:val="3ADE3FB6"/>
    <w:rsid w:val="3AE10910"/>
    <w:rsid w:val="3B312338"/>
    <w:rsid w:val="3B4F27BE"/>
    <w:rsid w:val="3B6C15C2"/>
    <w:rsid w:val="3B824942"/>
    <w:rsid w:val="3B8C756F"/>
    <w:rsid w:val="3B974891"/>
    <w:rsid w:val="3BA725FA"/>
    <w:rsid w:val="3BBA2E14"/>
    <w:rsid w:val="3BCC035E"/>
    <w:rsid w:val="3BE21884"/>
    <w:rsid w:val="3BEE1FD7"/>
    <w:rsid w:val="3C9E39FD"/>
    <w:rsid w:val="3CAA05F4"/>
    <w:rsid w:val="3CB46D7D"/>
    <w:rsid w:val="3D402A9B"/>
    <w:rsid w:val="3D6E1622"/>
    <w:rsid w:val="3D7D1865"/>
    <w:rsid w:val="3DAF5796"/>
    <w:rsid w:val="3DBE3CBE"/>
    <w:rsid w:val="3DD376D7"/>
    <w:rsid w:val="3DD5344F"/>
    <w:rsid w:val="3DE713D4"/>
    <w:rsid w:val="3E0847CC"/>
    <w:rsid w:val="3E611186"/>
    <w:rsid w:val="3E6B5511"/>
    <w:rsid w:val="3E7419A8"/>
    <w:rsid w:val="3E9E2778"/>
    <w:rsid w:val="3EAD6F0F"/>
    <w:rsid w:val="3EBB1D5D"/>
    <w:rsid w:val="3F8C3FE1"/>
    <w:rsid w:val="3FB47D1B"/>
    <w:rsid w:val="3FCA4B09"/>
    <w:rsid w:val="3FDB0AC5"/>
    <w:rsid w:val="3FE0432D"/>
    <w:rsid w:val="3FEB51AC"/>
    <w:rsid w:val="3FF878C8"/>
    <w:rsid w:val="3FFF2A05"/>
    <w:rsid w:val="401F6C03"/>
    <w:rsid w:val="40300E10"/>
    <w:rsid w:val="404313A0"/>
    <w:rsid w:val="40436D96"/>
    <w:rsid w:val="404B77B9"/>
    <w:rsid w:val="40672358"/>
    <w:rsid w:val="40A8309D"/>
    <w:rsid w:val="40AC40A5"/>
    <w:rsid w:val="40C33A32"/>
    <w:rsid w:val="41195D48"/>
    <w:rsid w:val="412F10C8"/>
    <w:rsid w:val="4168377D"/>
    <w:rsid w:val="42073DF3"/>
    <w:rsid w:val="420E6F2F"/>
    <w:rsid w:val="42206C63"/>
    <w:rsid w:val="423975C1"/>
    <w:rsid w:val="423F17DF"/>
    <w:rsid w:val="424C5CAA"/>
    <w:rsid w:val="425D3A13"/>
    <w:rsid w:val="42862A58"/>
    <w:rsid w:val="42BC698B"/>
    <w:rsid w:val="42BF46CD"/>
    <w:rsid w:val="437234EE"/>
    <w:rsid w:val="437B1837"/>
    <w:rsid w:val="439D4CF4"/>
    <w:rsid w:val="43A51B15"/>
    <w:rsid w:val="43D9356D"/>
    <w:rsid w:val="43FB1735"/>
    <w:rsid w:val="440525B4"/>
    <w:rsid w:val="442A7828"/>
    <w:rsid w:val="44C53E2A"/>
    <w:rsid w:val="45401AF6"/>
    <w:rsid w:val="454F5659"/>
    <w:rsid w:val="45505CD5"/>
    <w:rsid w:val="45C5024D"/>
    <w:rsid w:val="45CF4C28"/>
    <w:rsid w:val="46130FB8"/>
    <w:rsid w:val="468C0D6B"/>
    <w:rsid w:val="469D2991"/>
    <w:rsid w:val="46A50CD8"/>
    <w:rsid w:val="46AC31BB"/>
    <w:rsid w:val="46DD3374"/>
    <w:rsid w:val="46FF32EA"/>
    <w:rsid w:val="472D7E58"/>
    <w:rsid w:val="478C7274"/>
    <w:rsid w:val="47C84024"/>
    <w:rsid w:val="480E2755"/>
    <w:rsid w:val="48272AF9"/>
    <w:rsid w:val="483D40CA"/>
    <w:rsid w:val="48525B16"/>
    <w:rsid w:val="485D651B"/>
    <w:rsid w:val="4882187E"/>
    <w:rsid w:val="488E0DCA"/>
    <w:rsid w:val="48926880"/>
    <w:rsid w:val="48E704DA"/>
    <w:rsid w:val="48F97024"/>
    <w:rsid w:val="49046AC3"/>
    <w:rsid w:val="491312CF"/>
    <w:rsid w:val="491C4628"/>
    <w:rsid w:val="491F5EC6"/>
    <w:rsid w:val="49303C2F"/>
    <w:rsid w:val="493E015D"/>
    <w:rsid w:val="495518E8"/>
    <w:rsid w:val="497C2B27"/>
    <w:rsid w:val="497E0AAA"/>
    <w:rsid w:val="49DC3DB7"/>
    <w:rsid w:val="49FE5ADB"/>
    <w:rsid w:val="4A236894"/>
    <w:rsid w:val="4A3E05CE"/>
    <w:rsid w:val="4A4F2DB8"/>
    <w:rsid w:val="4A985F30"/>
    <w:rsid w:val="4A9A50EC"/>
    <w:rsid w:val="4ABD14F2"/>
    <w:rsid w:val="4B1F5D09"/>
    <w:rsid w:val="4B2C48CA"/>
    <w:rsid w:val="4B375749"/>
    <w:rsid w:val="4B3D2633"/>
    <w:rsid w:val="4B3D6AD7"/>
    <w:rsid w:val="4B5F25AA"/>
    <w:rsid w:val="4B667DDC"/>
    <w:rsid w:val="4BA53DD6"/>
    <w:rsid w:val="4BCC5633"/>
    <w:rsid w:val="4BE331DB"/>
    <w:rsid w:val="4BE551A5"/>
    <w:rsid w:val="4C002082"/>
    <w:rsid w:val="4C207A5B"/>
    <w:rsid w:val="4C211F55"/>
    <w:rsid w:val="4C327CBE"/>
    <w:rsid w:val="4C8D633F"/>
    <w:rsid w:val="4CF94C10"/>
    <w:rsid w:val="4D122DCB"/>
    <w:rsid w:val="4D27359B"/>
    <w:rsid w:val="4D302450"/>
    <w:rsid w:val="4D3D5E99"/>
    <w:rsid w:val="4DD70B1D"/>
    <w:rsid w:val="4DEF230B"/>
    <w:rsid w:val="4DF06083"/>
    <w:rsid w:val="4DF41807"/>
    <w:rsid w:val="4E061402"/>
    <w:rsid w:val="4E151826"/>
    <w:rsid w:val="4E1F2065"/>
    <w:rsid w:val="4E2E44B5"/>
    <w:rsid w:val="4E30022D"/>
    <w:rsid w:val="4E9B5FEF"/>
    <w:rsid w:val="4EB40E5E"/>
    <w:rsid w:val="4ECE4F6D"/>
    <w:rsid w:val="4EDB7799"/>
    <w:rsid w:val="4F091ADF"/>
    <w:rsid w:val="4F1D07B2"/>
    <w:rsid w:val="4F22401A"/>
    <w:rsid w:val="4F477F24"/>
    <w:rsid w:val="4F4C553B"/>
    <w:rsid w:val="4F764366"/>
    <w:rsid w:val="4FE53EA8"/>
    <w:rsid w:val="50672CDB"/>
    <w:rsid w:val="509C4F71"/>
    <w:rsid w:val="50B71807"/>
    <w:rsid w:val="50EE68AA"/>
    <w:rsid w:val="50FF79F0"/>
    <w:rsid w:val="51220301"/>
    <w:rsid w:val="51A74CAA"/>
    <w:rsid w:val="51C92E73"/>
    <w:rsid w:val="52267BB8"/>
    <w:rsid w:val="52291B0B"/>
    <w:rsid w:val="523F3135"/>
    <w:rsid w:val="52522E68"/>
    <w:rsid w:val="52524C16"/>
    <w:rsid w:val="525E0E06"/>
    <w:rsid w:val="52911BE2"/>
    <w:rsid w:val="52D23FA9"/>
    <w:rsid w:val="52EC6E19"/>
    <w:rsid w:val="52F12681"/>
    <w:rsid w:val="53146370"/>
    <w:rsid w:val="532252B0"/>
    <w:rsid w:val="539A4AC7"/>
    <w:rsid w:val="539B01A9"/>
    <w:rsid w:val="53A213A1"/>
    <w:rsid w:val="53EB14F4"/>
    <w:rsid w:val="5408687A"/>
    <w:rsid w:val="54273E81"/>
    <w:rsid w:val="54745318"/>
    <w:rsid w:val="547E551D"/>
    <w:rsid w:val="548656D1"/>
    <w:rsid w:val="55990DAE"/>
    <w:rsid w:val="55A0213D"/>
    <w:rsid w:val="55A21A11"/>
    <w:rsid w:val="55A51501"/>
    <w:rsid w:val="55B27F17"/>
    <w:rsid w:val="55CD5F67"/>
    <w:rsid w:val="55E53FF3"/>
    <w:rsid w:val="55FF6E63"/>
    <w:rsid w:val="562C1C22"/>
    <w:rsid w:val="566E3FE9"/>
    <w:rsid w:val="567A0BDF"/>
    <w:rsid w:val="57122BC6"/>
    <w:rsid w:val="571701DC"/>
    <w:rsid w:val="57212E09"/>
    <w:rsid w:val="57715B3F"/>
    <w:rsid w:val="579932E7"/>
    <w:rsid w:val="57D95053"/>
    <w:rsid w:val="57DA1F20"/>
    <w:rsid w:val="57EE3633"/>
    <w:rsid w:val="5838665C"/>
    <w:rsid w:val="583D2821"/>
    <w:rsid w:val="58A27F7A"/>
    <w:rsid w:val="58C92347"/>
    <w:rsid w:val="58FA6008"/>
    <w:rsid w:val="593B28A8"/>
    <w:rsid w:val="59484FC5"/>
    <w:rsid w:val="597E0945"/>
    <w:rsid w:val="59F9006D"/>
    <w:rsid w:val="5A040EEC"/>
    <w:rsid w:val="5A2E0C74"/>
    <w:rsid w:val="5A4B6B1B"/>
    <w:rsid w:val="5A545B21"/>
    <w:rsid w:val="5A731BCE"/>
    <w:rsid w:val="5AF0321E"/>
    <w:rsid w:val="5B164E85"/>
    <w:rsid w:val="5B370E4D"/>
    <w:rsid w:val="5B3F5F54"/>
    <w:rsid w:val="5B490B80"/>
    <w:rsid w:val="5B501F0F"/>
    <w:rsid w:val="5BBB1A7E"/>
    <w:rsid w:val="5BBE156E"/>
    <w:rsid w:val="5C317F92"/>
    <w:rsid w:val="5C583698"/>
    <w:rsid w:val="5C9522CF"/>
    <w:rsid w:val="5D3D756A"/>
    <w:rsid w:val="5D552D03"/>
    <w:rsid w:val="5D5D0381"/>
    <w:rsid w:val="5D7843A7"/>
    <w:rsid w:val="5E162F9C"/>
    <w:rsid w:val="5E5B4E53"/>
    <w:rsid w:val="5E8D4E71"/>
    <w:rsid w:val="5ECE1AC8"/>
    <w:rsid w:val="5ED30E8D"/>
    <w:rsid w:val="5F4955F3"/>
    <w:rsid w:val="5F5A2904"/>
    <w:rsid w:val="5FAB1E0A"/>
    <w:rsid w:val="5FBC3BAA"/>
    <w:rsid w:val="5FDA449D"/>
    <w:rsid w:val="603C0CB4"/>
    <w:rsid w:val="60FF065F"/>
    <w:rsid w:val="610417D1"/>
    <w:rsid w:val="610C692D"/>
    <w:rsid w:val="616404C2"/>
    <w:rsid w:val="618A199B"/>
    <w:rsid w:val="61923281"/>
    <w:rsid w:val="61994561"/>
    <w:rsid w:val="619D39D4"/>
    <w:rsid w:val="61B3163D"/>
    <w:rsid w:val="623A0D90"/>
    <w:rsid w:val="627014C0"/>
    <w:rsid w:val="62867EBF"/>
    <w:rsid w:val="629628FD"/>
    <w:rsid w:val="62D376AD"/>
    <w:rsid w:val="62EC6006"/>
    <w:rsid w:val="62F835B8"/>
    <w:rsid w:val="630E6937"/>
    <w:rsid w:val="631B1054"/>
    <w:rsid w:val="631D6E2D"/>
    <w:rsid w:val="63247AA4"/>
    <w:rsid w:val="63332842"/>
    <w:rsid w:val="63442359"/>
    <w:rsid w:val="634A36E8"/>
    <w:rsid w:val="639F1C85"/>
    <w:rsid w:val="63BD210C"/>
    <w:rsid w:val="63DF6526"/>
    <w:rsid w:val="63EF70A4"/>
    <w:rsid w:val="63FE6B16"/>
    <w:rsid w:val="64994927"/>
    <w:rsid w:val="64B21544"/>
    <w:rsid w:val="64BD0C9C"/>
    <w:rsid w:val="64C00105"/>
    <w:rsid w:val="64D771FD"/>
    <w:rsid w:val="64DA5A0E"/>
    <w:rsid w:val="65534AD5"/>
    <w:rsid w:val="657D7565"/>
    <w:rsid w:val="658B24C1"/>
    <w:rsid w:val="65D2176A"/>
    <w:rsid w:val="65E971E8"/>
    <w:rsid w:val="666F3B91"/>
    <w:rsid w:val="66811B16"/>
    <w:rsid w:val="669453A6"/>
    <w:rsid w:val="669E47D6"/>
    <w:rsid w:val="6707201B"/>
    <w:rsid w:val="67654F94"/>
    <w:rsid w:val="67695A94"/>
    <w:rsid w:val="67753429"/>
    <w:rsid w:val="6784366C"/>
    <w:rsid w:val="67C63C85"/>
    <w:rsid w:val="6804655B"/>
    <w:rsid w:val="68150768"/>
    <w:rsid w:val="682E5386"/>
    <w:rsid w:val="68352E87"/>
    <w:rsid w:val="68C857DA"/>
    <w:rsid w:val="68E81C00"/>
    <w:rsid w:val="692C5D69"/>
    <w:rsid w:val="69472BA3"/>
    <w:rsid w:val="69713A6A"/>
    <w:rsid w:val="69B834F1"/>
    <w:rsid w:val="69BE6B2E"/>
    <w:rsid w:val="69E57E29"/>
    <w:rsid w:val="6A130CD7"/>
    <w:rsid w:val="6A1F4451"/>
    <w:rsid w:val="6A70612A"/>
    <w:rsid w:val="6AB51D8E"/>
    <w:rsid w:val="6ACB3360"/>
    <w:rsid w:val="6AE306AA"/>
    <w:rsid w:val="6AFA2C52"/>
    <w:rsid w:val="6B016D82"/>
    <w:rsid w:val="6B0B007F"/>
    <w:rsid w:val="6B122D3D"/>
    <w:rsid w:val="6B5E5F82"/>
    <w:rsid w:val="6B8A2299"/>
    <w:rsid w:val="6BDA7CFF"/>
    <w:rsid w:val="6BEC358E"/>
    <w:rsid w:val="6C296590"/>
    <w:rsid w:val="6C2E32E0"/>
    <w:rsid w:val="6C7F08A6"/>
    <w:rsid w:val="6C9C075E"/>
    <w:rsid w:val="6CAD0F6F"/>
    <w:rsid w:val="6CB12622"/>
    <w:rsid w:val="6CC60283"/>
    <w:rsid w:val="6D5238C5"/>
    <w:rsid w:val="6DA02882"/>
    <w:rsid w:val="6DB4632D"/>
    <w:rsid w:val="6DD54CBF"/>
    <w:rsid w:val="6DEC1F6B"/>
    <w:rsid w:val="6E386F5E"/>
    <w:rsid w:val="6E810905"/>
    <w:rsid w:val="6ED722D3"/>
    <w:rsid w:val="6EE317A3"/>
    <w:rsid w:val="6F03131A"/>
    <w:rsid w:val="6F3A4760"/>
    <w:rsid w:val="6F8F2BAE"/>
    <w:rsid w:val="6F906926"/>
    <w:rsid w:val="6FAD572A"/>
    <w:rsid w:val="6FC54822"/>
    <w:rsid w:val="6FC969CA"/>
    <w:rsid w:val="6FFB0243"/>
    <w:rsid w:val="702E0619"/>
    <w:rsid w:val="70372DFC"/>
    <w:rsid w:val="704E2A69"/>
    <w:rsid w:val="709D579F"/>
    <w:rsid w:val="70B95216"/>
    <w:rsid w:val="711041C2"/>
    <w:rsid w:val="711F4430"/>
    <w:rsid w:val="71431EA2"/>
    <w:rsid w:val="724D7270"/>
    <w:rsid w:val="729B5D0E"/>
    <w:rsid w:val="72C72545"/>
    <w:rsid w:val="72D80D10"/>
    <w:rsid w:val="72E0000C"/>
    <w:rsid w:val="731038FC"/>
    <w:rsid w:val="7325797A"/>
    <w:rsid w:val="73261311"/>
    <w:rsid w:val="73774085"/>
    <w:rsid w:val="737C169B"/>
    <w:rsid w:val="7394444F"/>
    <w:rsid w:val="73983076"/>
    <w:rsid w:val="73AB3D2F"/>
    <w:rsid w:val="73C31078"/>
    <w:rsid w:val="73E3171A"/>
    <w:rsid w:val="73F90F3E"/>
    <w:rsid w:val="74055AE2"/>
    <w:rsid w:val="74096F68"/>
    <w:rsid w:val="743048B3"/>
    <w:rsid w:val="74542618"/>
    <w:rsid w:val="74780A2A"/>
    <w:rsid w:val="749D5D6D"/>
    <w:rsid w:val="74E27C24"/>
    <w:rsid w:val="74EC2851"/>
    <w:rsid w:val="74F67C32"/>
    <w:rsid w:val="74F71921"/>
    <w:rsid w:val="75061AC9"/>
    <w:rsid w:val="751375E8"/>
    <w:rsid w:val="75501031"/>
    <w:rsid w:val="756B19C7"/>
    <w:rsid w:val="75720FA8"/>
    <w:rsid w:val="75BC563D"/>
    <w:rsid w:val="75C86E1A"/>
    <w:rsid w:val="767D5E56"/>
    <w:rsid w:val="768F5B89"/>
    <w:rsid w:val="76B3743A"/>
    <w:rsid w:val="76F93003"/>
    <w:rsid w:val="77403B29"/>
    <w:rsid w:val="777A725B"/>
    <w:rsid w:val="77CB1F0C"/>
    <w:rsid w:val="77D543BA"/>
    <w:rsid w:val="78063C29"/>
    <w:rsid w:val="781B5927"/>
    <w:rsid w:val="7849718A"/>
    <w:rsid w:val="78A82F32"/>
    <w:rsid w:val="78E51A91"/>
    <w:rsid w:val="78EF259F"/>
    <w:rsid w:val="78F062A1"/>
    <w:rsid w:val="790C1713"/>
    <w:rsid w:val="79167E9C"/>
    <w:rsid w:val="79206F6D"/>
    <w:rsid w:val="79556C16"/>
    <w:rsid w:val="79766B8D"/>
    <w:rsid w:val="79D67235"/>
    <w:rsid w:val="79ED50A1"/>
    <w:rsid w:val="7A4D15E8"/>
    <w:rsid w:val="7A9C2623"/>
    <w:rsid w:val="7ACA7190"/>
    <w:rsid w:val="7AD46261"/>
    <w:rsid w:val="7AEA6B74"/>
    <w:rsid w:val="7AF75AAB"/>
    <w:rsid w:val="7B0A57DF"/>
    <w:rsid w:val="7B332F87"/>
    <w:rsid w:val="7B560A24"/>
    <w:rsid w:val="7B794906"/>
    <w:rsid w:val="7B881ADD"/>
    <w:rsid w:val="7B9559F0"/>
    <w:rsid w:val="7BB3231A"/>
    <w:rsid w:val="7BCE4A5E"/>
    <w:rsid w:val="7C684EB3"/>
    <w:rsid w:val="7C9C2DAE"/>
    <w:rsid w:val="7C9C690A"/>
    <w:rsid w:val="7CB41EA6"/>
    <w:rsid w:val="7CC540B3"/>
    <w:rsid w:val="7CCD2F68"/>
    <w:rsid w:val="7CD6006E"/>
    <w:rsid w:val="7CF877E9"/>
    <w:rsid w:val="7D080444"/>
    <w:rsid w:val="7D871368"/>
    <w:rsid w:val="7DCF4ABD"/>
    <w:rsid w:val="7DD87E16"/>
    <w:rsid w:val="7DF033B2"/>
    <w:rsid w:val="7E577FCC"/>
    <w:rsid w:val="7E5C27F5"/>
    <w:rsid w:val="7E6A3164"/>
    <w:rsid w:val="7E835FD4"/>
    <w:rsid w:val="7E896090"/>
    <w:rsid w:val="7EB517AA"/>
    <w:rsid w:val="7EDE76AE"/>
    <w:rsid w:val="7EE03426"/>
    <w:rsid w:val="7EFE565A"/>
    <w:rsid w:val="7F01339C"/>
    <w:rsid w:val="7F0D3AEF"/>
    <w:rsid w:val="7F1D067B"/>
    <w:rsid w:val="7FC00B62"/>
    <w:rsid w:val="7FF86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tabs>
        <w:tab w:val="left" w:pos="720"/>
      </w:tabs>
      <w:spacing w:before="260" w:after="260" w:line="360" w:lineRule="auto"/>
      <w:jc w:val="center"/>
      <w:outlineLvl w:val="1"/>
    </w:pPr>
    <w:rPr>
      <w:rFonts w:hAnsi="宋体" w:cs="Arial"/>
      <w:b/>
      <w:bCs/>
      <w:iCs/>
      <w:sz w:val="28"/>
      <w:szCs w:val="28"/>
    </w:rPr>
  </w:style>
  <w:style w:type="paragraph" w:styleId="4">
    <w:name w:val="heading 3"/>
    <w:basedOn w:val="1"/>
    <w:next w:val="1"/>
    <w:link w:val="31"/>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rPr>
      <w:rFonts w:ascii="Times New Roman" w:hAnsi="Times New Roman"/>
    </w:rPr>
  </w:style>
  <w:style w:type="paragraph" w:styleId="6">
    <w:name w:val="Salutation"/>
    <w:basedOn w:val="1"/>
    <w:next w:val="1"/>
    <w:qFormat/>
    <w:uiPriority w:val="0"/>
  </w:style>
  <w:style w:type="paragraph" w:styleId="7">
    <w:name w:val="Body Text"/>
    <w:basedOn w:val="1"/>
    <w:next w:val="1"/>
    <w:unhideWhenUsed/>
    <w:qFormat/>
    <w:uiPriority w:val="99"/>
    <w:pPr>
      <w:spacing w:after="120"/>
    </w:pPr>
  </w:style>
  <w:style w:type="paragraph" w:styleId="8">
    <w:name w:val="Body Text Indent"/>
    <w:basedOn w:val="1"/>
    <w:next w:val="9"/>
    <w:qFormat/>
    <w:uiPriority w:val="0"/>
    <w:pPr>
      <w:spacing w:after="120"/>
      <w:ind w:left="420" w:leftChars="200"/>
    </w:pPr>
  </w:style>
  <w:style w:type="paragraph" w:styleId="9">
    <w:name w:val="envelope return"/>
    <w:basedOn w:val="1"/>
    <w:qFormat/>
    <w:uiPriority w:val="0"/>
    <w:pPr>
      <w:snapToGrid w:val="0"/>
    </w:pPr>
    <w:rPr>
      <w:rFonts w:ascii="Arial" w:hAnsi="Arial"/>
    </w:rPr>
  </w:style>
  <w:style w:type="paragraph" w:styleId="10">
    <w:name w:val="footer"/>
    <w:basedOn w:val="1"/>
    <w:qFormat/>
    <w:uiPriority w:val="99"/>
    <w:pPr>
      <w:tabs>
        <w:tab w:val="center" w:pos="4153"/>
        <w:tab w:val="right" w:pos="8306"/>
      </w:tabs>
      <w:snapToGrid w:val="0"/>
      <w:jc w:val="left"/>
    </w:pPr>
    <w:rPr>
      <w:kern w:val="0"/>
      <w:sz w:val="18"/>
      <w:szCs w:val="18"/>
    </w:rPr>
  </w:style>
  <w:style w:type="paragraph" w:styleId="11">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12">
    <w:name w:val="toc 1"/>
    <w:basedOn w:val="1"/>
    <w:next w:val="1"/>
    <w:unhideWhenUsed/>
    <w:qFormat/>
    <w:uiPriority w:val="39"/>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4">
    <w:name w:val="Body Text First Indent 2"/>
    <w:basedOn w:val="8"/>
    <w:qFormat/>
    <w:uiPriority w:val="0"/>
    <w:pPr>
      <w:ind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Hyperlink"/>
    <w:basedOn w:val="17"/>
    <w:unhideWhenUsed/>
    <w:qFormat/>
    <w:uiPriority w:val="99"/>
    <w:rPr>
      <w:color w:val="0563C1" w:themeColor="hyperlink"/>
      <w:u w:val="single"/>
      <w14:textFill>
        <w14:solidFill>
          <w14:schemeClr w14:val="hlink"/>
        </w14:solidFill>
      </w14:textFill>
    </w:rPr>
  </w:style>
  <w:style w:type="paragraph" w:customStyle="1" w:styleId="20">
    <w:name w:val="标题 5（有编号）（绿盟科技）"/>
    <w:basedOn w:val="21"/>
    <w:next w:val="24"/>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21">
    <w:name w:val="正文1"/>
    <w:next w:val="22"/>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22">
    <w:name w:val="正文文本1"/>
    <w:basedOn w:val="23"/>
    <w:next w:val="21"/>
    <w:qFormat/>
    <w:uiPriority w:val="0"/>
    <w:pPr>
      <w:spacing w:line="352" w:lineRule="auto"/>
    </w:pPr>
    <w:rPr>
      <w:rFonts w:ascii="宋体" w:hAnsi="宋体" w:eastAsia="宋体" w:cs="宋体"/>
      <w:sz w:val="22"/>
      <w:lang w:val="zh-CN" w:bidi="zh-CN"/>
    </w:rPr>
  </w:style>
  <w:style w:type="paragraph" w:customStyle="1" w:styleId="23">
    <w:name w:val="表格内1"/>
    <w:next w:val="22"/>
    <w:qFormat/>
    <w:uiPriority w:val="0"/>
    <w:pPr>
      <w:widowControl w:val="0"/>
      <w:numPr>
        <w:ilvl w:val="0"/>
        <w:numId w:val="2"/>
      </w:numPr>
      <w:jc w:val="both"/>
    </w:pPr>
    <w:rPr>
      <w:rFonts w:ascii="Calibri" w:hAnsi="Calibri" w:eastAsia="宋体" w:cs="黑体"/>
      <w:b/>
      <w:kern w:val="2"/>
      <w:sz w:val="21"/>
      <w:szCs w:val="22"/>
      <w:lang w:val="en-US" w:eastAsia="zh-CN" w:bidi="ar-SA"/>
    </w:rPr>
  </w:style>
  <w:style w:type="paragraph" w:customStyle="1" w:styleId="24">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25">
    <w:name w:val="Table Paragraph"/>
    <w:basedOn w:val="1"/>
    <w:qFormat/>
    <w:uiPriority w:val="1"/>
  </w:style>
  <w:style w:type="paragraph" w:styleId="26">
    <w:name w:val="List Paragraph"/>
    <w:basedOn w:val="1"/>
    <w:qFormat/>
    <w:uiPriority w:val="99"/>
    <w:pPr>
      <w:ind w:firstLine="420" w:firstLineChars="200"/>
    </w:pPr>
  </w:style>
  <w:style w:type="paragraph" w:styleId="27">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8">
    <w:name w:val="一级条标题"/>
    <w:basedOn w:val="29"/>
    <w:next w:val="30"/>
    <w:qFormat/>
    <w:uiPriority w:val="0"/>
    <w:pPr>
      <w:tabs>
        <w:tab w:val="left" w:pos="810"/>
        <w:tab w:val="left" w:pos="907"/>
        <w:tab w:val="left" w:pos="1265"/>
      </w:tabs>
      <w:spacing w:before="0" w:after="0"/>
      <w:ind w:left="907" w:hanging="907"/>
      <w:outlineLvl w:val="2"/>
    </w:pPr>
    <w:rPr>
      <w:rFonts w:hAnsi="宋体"/>
      <w:sz w:val="20"/>
    </w:rPr>
  </w:style>
  <w:style w:type="paragraph" w:customStyle="1" w:styleId="29">
    <w:name w:val="章标题"/>
    <w:next w:val="1"/>
    <w:qFormat/>
    <w:uiPriority w:val="0"/>
    <w:pPr>
      <w:spacing w:before="156" w:after="156"/>
      <w:jc w:val="both"/>
      <w:outlineLvl w:val="1"/>
    </w:pPr>
    <w:rPr>
      <w:rFonts w:ascii="Times New Roman" w:hAnsi="Times New Roman" w:eastAsia="黑体" w:cs="Times New Roman"/>
      <w:sz w:val="21"/>
      <w:lang w:val="en-US" w:eastAsia="zh-CN" w:bidi="ar-SA"/>
    </w:rPr>
  </w:style>
  <w:style w:type="paragraph" w:customStyle="1" w:styleId="30">
    <w:name w:val="段"/>
    <w:next w:val="1"/>
    <w:qFormat/>
    <w:uiPriority w:val="0"/>
    <w:pPr>
      <w:ind w:firstLine="200"/>
      <w:jc w:val="both"/>
    </w:pPr>
    <w:rPr>
      <w:rFonts w:ascii="宋体" w:hAnsi="Times New Roman" w:eastAsia="宋体" w:cs="Times New Roman"/>
      <w:sz w:val="21"/>
      <w:lang w:val="en-US" w:eastAsia="zh-CN" w:bidi="ar-SA"/>
    </w:rPr>
  </w:style>
  <w:style w:type="character" w:customStyle="1" w:styleId="31">
    <w:name w:val="标题 3 Char"/>
    <w:basedOn w:val="17"/>
    <w:link w:val="4"/>
    <w:qFormat/>
    <w:uiPriority w:val="9"/>
    <w:rPr>
      <w:b/>
      <w:bCs/>
      <w:sz w:val="32"/>
      <w:szCs w:val="32"/>
    </w:rPr>
  </w:style>
  <w:style w:type="paragraph" w:customStyle="1" w:styleId="32">
    <w:name w:val="列表段落1"/>
    <w:basedOn w:val="1"/>
    <w:qFormat/>
    <w:uiPriority w:val="34"/>
    <w:pPr>
      <w:ind w:firstLine="420" w:firstLineChars="200"/>
    </w:pPr>
  </w:style>
  <w:style w:type="character" w:customStyle="1" w:styleId="33">
    <w:name w:val="font31"/>
    <w:basedOn w:val="17"/>
    <w:qFormat/>
    <w:uiPriority w:val="0"/>
    <w:rPr>
      <w:rFonts w:hint="eastAsia" w:ascii="仿宋" w:hAnsi="仿宋" w:eastAsia="仿宋" w:cs="仿宋"/>
      <w:color w:val="000000"/>
      <w:sz w:val="21"/>
      <w:szCs w:val="21"/>
      <w:u w:val="none"/>
    </w:rPr>
  </w:style>
  <w:style w:type="character" w:customStyle="1" w:styleId="34">
    <w:name w:val="font41"/>
    <w:basedOn w:val="17"/>
    <w:qFormat/>
    <w:uiPriority w:val="0"/>
    <w:rPr>
      <w:rFonts w:hint="eastAsia" w:ascii="仿宋" w:hAnsi="仿宋" w:eastAsia="仿宋" w:cs="仿宋"/>
      <w:color w:val="000000"/>
      <w:sz w:val="22"/>
      <w:szCs w:val="22"/>
      <w:u w:val="none"/>
    </w:rPr>
  </w:style>
  <w:style w:type="paragraph" w:customStyle="1" w:styleId="35">
    <w:name w:val="样式 首行缩进:  2 字符"/>
    <w:basedOn w:val="1"/>
    <w:qFormat/>
    <w:uiPriority w:val="0"/>
    <w:pPr>
      <w:spacing w:line="400" w:lineRule="exact"/>
      <w:ind w:firstLine="200" w:firstLineChars="200"/>
    </w:pPr>
    <w:rPr>
      <w:rFonts w:ascii="Times New Roman" w:hAnsi="Times New Roman" w:cs="宋体"/>
      <w:sz w:val="24"/>
      <w:szCs w:val="24"/>
    </w:rPr>
  </w:style>
  <w:style w:type="paragraph" w:customStyle="1" w:styleId="36">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11150</Words>
  <Characters>11636</Characters>
  <Lines>0</Lines>
  <Paragraphs>0</Paragraphs>
  <TotalTime>157</TotalTime>
  <ScaleCrop>false</ScaleCrop>
  <LinksUpToDate>false</LinksUpToDate>
  <CharactersWithSpaces>11646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2025-03-21T01:09:00Z</dcterms:created>
  <dc:creator>Administrator</dc:creator>
  <cp:lastModifiedBy>┢┦appyZeng</cp:lastModifiedBy>
  <cp:lastPrinted>2025-04-28T07:45:00Z</cp:lastPrinted>
  <dcterms:modified xsi:type="dcterms:W3CDTF">2026-08-20T01:38:24Z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eyJoZGlkIjoiYjc5OGVmYzYwOTVjZmQ3NWIyMjhjOGU1MjY3OTk0OWIiLCJ1c2VySWQiOiI1NjM1ODcwODUifQ==</vt:lpwstr>
  </property>
  <property fmtid="{D5CDD505-2E9C-101B-9397-08002B2CF9AE}" pid="4" name="ICV">
    <vt:lpwstr>456307DEBA344CF9828E1F9E0915D247_13</vt:lpwstr>
  </property>
</Properties>
</file>